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F0D98" w14:textId="2F536133" w:rsidR="0009352C" w:rsidRPr="00F7093F" w:rsidRDefault="00F7093F" w:rsidP="00F7093F">
      <w:pPr>
        <w:pStyle w:val="NoSpacing"/>
        <w:suppressLineNumbers/>
        <w:rPr>
          <w:rFonts w:ascii="Book Antiqua" w:hAnsi="Book Antiqua"/>
          <w:b/>
          <w:sz w:val="24"/>
          <w:szCs w:val="24"/>
        </w:rPr>
      </w:pPr>
      <w:r w:rsidRPr="00F7093F">
        <w:rPr>
          <w:rFonts w:ascii="Book Antiqua" w:hAnsi="Book Antiqua"/>
          <w:b/>
          <w:sz w:val="24"/>
          <w:szCs w:val="24"/>
        </w:rPr>
        <w:t>(</w:t>
      </w:r>
      <w:r w:rsidR="0009352C" w:rsidRPr="00F7093F">
        <w:rPr>
          <w:rFonts w:ascii="Book Antiqua" w:hAnsi="Book Antiqua"/>
          <w:b/>
          <w:sz w:val="24"/>
          <w:szCs w:val="24"/>
        </w:rPr>
        <w:t xml:space="preserve">P. de la C. </w:t>
      </w:r>
      <w:r w:rsidR="00A92F75" w:rsidRPr="00F7093F">
        <w:rPr>
          <w:rFonts w:ascii="Book Antiqua" w:hAnsi="Book Antiqua"/>
          <w:b/>
          <w:sz w:val="24"/>
          <w:szCs w:val="24"/>
        </w:rPr>
        <w:t>171</w:t>
      </w:r>
      <w:r w:rsidRPr="00F7093F">
        <w:rPr>
          <w:rFonts w:ascii="Book Antiqua" w:hAnsi="Book Antiqua"/>
          <w:b/>
          <w:sz w:val="24"/>
          <w:szCs w:val="24"/>
        </w:rPr>
        <w:t>)</w:t>
      </w:r>
    </w:p>
    <w:p w14:paraId="1ED92682" w14:textId="77777777" w:rsidR="0009352C" w:rsidRPr="00862B43" w:rsidRDefault="0009352C" w:rsidP="0009352C">
      <w:pPr>
        <w:pStyle w:val="NoSpacing"/>
        <w:suppressLineNumbers/>
        <w:jc w:val="center"/>
        <w:rPr>
          <w:rFonts w:ascii="Book Antiqua" w:hAnsi="Book Antiqua"/>
          <w:sz w:val="24"/>
          <w:szCs w:val="24"/>
        </w:rPr>
      </w:pPr>
    </w:p>
    <w:p w14:paraId="28EE769E" w14:textId="77777777" w:rsidR="0009352C" w:rsidRDefault="0009352C" w:rsidP="00F7093F">
      <w:pPr>
        <w:pStyle w:val="NoSpacing"/>
        <w:suppressLineNumbers/>
        <w:jc w:val="center"/>
        <w:rPr>
          <w:rFonts w:ascii="Book Antiqua" w:hAnsi="Book Antiqua"/>
          <w:b/>
          <w:sz w:val="28"/>
          <w:szCs w:val="28"/>
        </w:rPr>
      </w:pPr>
      <w:r w:rsidRPr="00A317B2">
        <w:rPr>
          <w:rFonts w:ascii="Book Antiqua" w:hAnsi="Book Antiqua"/>
          <w:b/>
          <w:sz w:val="28"/>
          <w:szCs w:val="28"/>
        </w:rPr>
        <w:t>LEY</w:t>
      </w:r>
    </w:p>
    <w:p w14:paraId="2217BC35" w14:textId="77777777" w:rsidR="00D53225" w:rsidRDefault="00D53225" w:rsidP="00F7093F">
      <w:pPr>
        <w:pStyle w:val="NoSpacing"/>
        <w:suppressLineNumbers/>
        <w:jc w:val="center"/>
        <w:rPr>
          <w:rFonts w:ascii="Book Antiqua" w:hAnsi="Book Antiqua"/>
          <w:b/>
          <w:sz w:val="28"/>
          <w:szCs w:val="28"/>
        </w:rPr>
      </w:pPr>
    </w:p>
    <w:p w14:paraId="11801B53" w14:textId="77777777" w:rsidR="00D53225" w:rsidRPr="00A317B2" w:rsidRDefault="00D53225" w:rsidP="00F7093F">
      <w:pPr>
        <w:pStyle w:val="NoSpacing"/>
        <w:suppressLineNumbers/>
        <w:jc w:val="center"/>
        <w:rPr>
          <w:rFonts w:ascii="Book Antiqua" w:hAnsi="Book Antiqua"/>
          <w:b/>
          <w:sz w:val="28"/>
          <w:szCs w:val="28"/>
        </w:rPr>
      </w:pPr>
    </w:p>
    <w:p w14:paraId="5F495AD2" w14:textId="77777777" w:rsidR="0009352C" w:rsidRPr="001E03B8" w:rsidRDefault="0009352C" w:rsidP="0009352C">
      <w:pPr>
        <w:jc w:val="center"/>
        <w:rPr>
          <w:rFonts w:ascii="Book Antiqua" w:hAnsi="Book Antiqua"/>
          <w:lang w:val="es-PR"/>
        </w:rPr>
      </w:pPr>
    </w:p>
    <w:p w14:paraId="1C2E18D0" w14:textId="2E6E2259" w:rsidR="0009352C" w:rsidRPr="00F7093F" w:rsidRDefault="0009352C" w:rsidP="00F7093F">
      <w:pPr>
        <w:pStyle w:val="BodyTextIndent3"/>
        <w:spacing w:after="0"/>
        <w:ind w:left="720" w:hanging="720"/>
        <w:jc w:val="both"/>
        <w:rPr>
          <w:rFonts w:ascii="Book Antiqua" w:hAnsi="Book Antiqua"/>
          <w:sz w:val="24"/>
          <w:szCs w:val="24"/>
        </w:rPr>
      </w:pPr>
      <w:r w:rsidRPr="00F7093F">
        <w:rPr>
          <w:rFonts w:ascii="Book Antiqua" w:hAnsi="Book Antiqua"/>
          <w:sz w:val="24"/>
          <w:szCs w:val="24"/>
          <w:lang w:val="es-ES_tradnl"/>
        </w:rPr>
        <w:t xml:space="preserve">Para enmendar la Regla 9.3 de las </w:t>
      </w:r>
      <w:r w:rsidR="00DD6433" w:rsidRPr="00F7093F">
        <w:rPr>
          <w:rFonts w:ascii="Book Antiqua" w:hAnsi="Book Antiqua"/>
          <w:sz w:val="24"/>
          <w:szCs w:val="24"/>
          <w:lang w:val="es-ES_tradnl"/>
        </w:rPr>
        <w:t xml:space="preserve">Reglas </w:t>
      </w:r>
      <w:r w:rsidRPr="00F7093F">
        <w:rPr>
          <w:rFonts w:ascii="Book Antiqua" w:hAnsi="Book Antiqua"/>
          <w:sz w:val="24"/>
          <w:szCs w:val="24"/>
          <w:lang w:val="es-ES_tradnl"/>
        </w:rPr>
        <w:t>de Procedimiento Civil</w:t>
      </w:r>
      <w:r w:rsidR="005B48F4" w:rsidRPr="00F7093F">
        <w:rPr>
          <w:rFonts w:ascii="Book Antiqua" w:hAnsi="Book Antiqua"/>
          <w:sz w:val="24"/>
          <w:szCs w:val="24"/>
          <w:lang w:val="es-ES_tradnl"/>
        </w:rPr>
        <w:t xml:space="preserve"> de Puerto Rico</w:t>
      </w:r>
      <w:r w:rsidRPr="00F7093F">
        <w:rPr>
          <w:rFonts w:ascii="Book Antiqua" w:hAnsi="Book Antiqua"/>
          <w:sz w:val="24"/>
          <w:szCs w:val="24"/>
          <w:lang w:val="es-ES_tradnl"/>
        </w:rPr>
        <w:t xml:space="preserve">, según enmendadas, a los fines de añadir los </w:t>
      </w:r>
      <w:r w:rsidR="00D8655A" w:rsidRPr="00F7093F">
        <w:rPr>
          <w:rFonts w:ascii="Book Antiqua" w:hAnsi="Book Antiqua"/>
          <w:sz w:val="24"/>
          <w:szCs w:val="24"/>
          <w:lang w:val="es-ES_tradnl"/>
        </w:rPr>
        <w:t xml:space="preserve">criterios </w:t>
      </w:r>
      <w:r w:rsidRPr="00F7093F">
        <w:rPr>
          <w:rFonts w:ascii="Book Antiqua" w:hAnsi="Book Antiqua"/>
          <w:sz w:val="24"/>
          <w:szCs w:val="24"/>
          <w:lang w:val="es-ES_tradnl"/>
        </w:rPr>
        <w:t>a ser considerados por el tribunal cuando una parte solicite la descalificación de un abogado</w:t>
      </w:r>
      <w:r w:rsidRPr="00F7093F">
        <w:rPr>
          <w:rFonts w:ascii="Book Antiqua" w:hAnsi="Book Antiqua" w:cs="Verdana"/>
          <w:color w:val="000000"/>
          <w:sz w:val="24"/>
          <w:szCs w:val="24"/>
          <w:lang w:val="es-ES_tradnl"/>
        </w:rPr>
        <w:t>; y</w:t>
      </w:r>
      <w:r w:rsidR="004A474D" w:rsidRPr="00F7093F">
        <w:rPr>
          <w:rFonts w:ascii="Book Antiqua" w:hAnsi="Book Antiqua" w:cs="Verdana"/>
          <w:color w:val="000000"/>
          <w:sz w:val="24"/>
          <w:szCs w:val="24"/>
          <w:lang w:val="es-ES_tradnl"/>
        </w:rPr>
        <w:t>,</w:t>
      </w:r>
      <w:r w:rsidRPr="00F7093F">
        <w:rPr>
          <w:rFonts w:ascii="Book Antiqua" w:hAnsi="Book Antiqua" w:cs="Verdana"/>
          <w:color w:val="000000"/>
          <w:sz w:val="24"/>
          <w:szCs w:val="24"/>
          <w:lang w:val="es-ES_tradnl"/>
        </w:rPr>
        <w:t xml:space="preserve"> para otros fines relacionados</w:t>
      </w:r>
      <w:r w:rsidRPr="00F7093F">
        <w:rPr>
          <w:rFonts w:ascii="Book Antiqua" w:hAnsi="Book Antiqua" w:cs="Arial"/>
          <w:sz w:val="24"/>
          <w:szCs w:val="24"/>
          <w:lang w:val="es-ES_tradnl"/>
        </w:rPr>
        <w:t>.</w:t>
      </w:r>
    </w:p>
    <w:p w14:paraId="2F7A93F8" w14:textId="77777777" w:rsidR="0009352C" w:rsidRDefault="0009352C" w:rsidP="0009352C">
      <w:pPr>
        <w:pStyle w:val="BodyTextIndent3"/>
        <w:spacing w:after="0"/>
        <w:ind w:left="720" w:hanging="720"/>
        <w:jc w:val="both"/>
        <w:rPr>
          <w:rFonts w:ascii="Book Antiqua" w:hAnsi="Book Antiqua"/>
          <w:sz w:val="24"/>
          <w:szCs w:val="24"/>
        </w:rPr>
      </w:pPr>
    </w:p>
    <w:p w14:paraId="0C8B519C" w14:textId="77777777" w:rsidR="0009352C" w:rsidRPr="00F47D58" w:rsidRDefault="0009352C" w:rsidP="0009352C">
      <w:pPr>
        <w:pStyle w:val="Heading3"/>
        <w:spacing w:before="0" w:after="0"/>
        <w:jc w:val="center"/>
        <w:rPr>
          <w:rFonts w:ascii="Book Antiqua" w:hAnsi="Book Antiqua" w:cs="Times New Roman"/>
          <w:b w:val="0"/>
          <w:spacing w:val="12"/>
          <w:sz w:val="24"/>
          <w:szCs w:val="24"/>
          <w:lang w:val="es-PR"/>
        </w:rPr>
      </w:pPr>
      <w:r w:rsidRPr="00F47D58">
        <w:rPr>
          <w:rFonts w:ascii="Book Antiqua" w:hAnsi="Book Antiqua" w:cs="Times New Roman"/>
          <w:b w:val="0"/>
          <w:spacing w:val="12"/>
          <w:sz w:val="24"/>
          <w:szCs w:val="24"/>
          <w:lang w:val="es-PR"/>
        </w:rPr>
        <w:t>EXPOSICIÓN DE MOTIVOS</w:t>
      </w:r>
    </w:p>
    <w:p w14:paraId="57C69035" w14:textId="77777777" w:rsidR="0009352C" w:rsidRPr="00102F37" w:rsidRDefault="0009352C" w:rsidP="0009352C">
      <w:pPr>
        <w:jc w:val="both"/>
        <w:rPr>
          <w:rFonts w:ascii="Book Antiqua" w:hAnsi="Book Antiqua"/>
          <w:lang w:val="es-PR"/>
        </w:rPr>
      </w:pPr>
    </w:p>
    <w:p w14:paraId="7797267B" w14:textId="225879D3" w:rsidR="0009352C" w:rsidRPr="00F7093F" w:rsidRDefault="00606678" w:rsidP="005E76F0">
      <w:pPr>
        <w:ind w:firstLine="567"/>
        <w:jc w:val="both"/>
        <w:rPr>
          <w:rFonts w:ascii="Book Antiqua" w:hAnsi="Book Antiqua"/>
          <w:color w:val="000000"/>
          <w:shd w:val="clear" w:color="auto" w:fill="FFFFFF"/>
          <w:lang w:val="es-PR"/>
        </w:rPr>
      </w:pPr>
      <w:bookmarkStart w:id="0" w:name="_Hlk488142686"/>
      <w:r w:rsidRPr="00F7093F">
        <w:rPr>
          <w:rFonts w:ascii="Book Antiqua" w:hAnsi="Book Antiqua"/>
          <w:color w:val="000000"/>
          <w:shd w:val="clear" w:color="auto" w:fill="FFFFFF"/>
          <w:lang w:val="es-PR"/>
        </w:rPr>
        <w:t>Las Reglas de Conducta Profesional</w:t>
      </w:r>
      <w:r w:rsidR="00205269" w:rsidRPr="00F7093F">
        <w:rPr>
          <w:rFonts w:ascii="Book Antiqua" w:hAnsi="Book Antiqua"/>
          <w:color w:val="000000"/>
          <w:shd w:val="clear" w:color="auto" w:fill="FFFFFF"/>
          <w:lang w:val="es-PR"/>
        </w:rPr>
        <w:t xml:space="preserve"> que rige l</w:t>
      </w:r>
      <w:r w:rsidR="0009352C" w:rsidRPr="00F7093F">
        <w:rPr>
          <w:rFonts w:ascii="Book Antiqua" w:hAnsi="Book Antiqua"/>
          <w:color w:val="000000"/>
          <w:shd w:val="clear" w:color="auto" w:fill="FFFFFF"/>
          <w:lang w:val="es-PR"/>
        </w:rPr>
        <w:t>a profesión legal</w:t>
      </w:r>
      <w:r w:rsidR="00205269" w:rsidRPr="00F7093F">
        <w:rPr>
          <w:rFonts w:ascii="Book Antiqua" w:hAnsi="Book Antiqua"/>
          <w:color w:val="000000"/>
          <w:shd w:val="clear" w:color="auto" w:fill="FFFFFF"/>
          <w:lang w:val="es-PR"/>
        </w:rPr>
        <w:t xml:space="preserve"> en Puerto Rico</w:t>
      </w:r>
      <w:r w:rsidR="00B65220" w:rsidRPr="00F7093F">
        <w:rPr>
          <w:rFonts w:ascii="Book Antiqua" w:hAnsi="Book Antiqua"/>
          <w:color w:val="000000"/>
          <w:shd w:val="clear" w:color="auto" w:fill="FFFFFF"/>
          <w:lang w:val="es-PR"/>
        </w:rPr>
        <w:t xml:space="preserve">, establece </w:t>
      </w:r>
      <w:r w:rsidR="00B65220" w:rsidRPr="00F7093F">
        <w:rPr>
          <w:rFonts w:ascii="Book Antiqua" w:hAnsi="Book Antiqua"/>
          <w:lang w:val="es-ES_tradnl"/>
        </w:rPr>
        <w:t>las nor</w:t>
      </w:r>
      <w:r w:rsidR="00AA7BD1" w:rsidRPr="00F7093F">
        <w:rPr>
          <w:rFonts w:ascii="Book Antiqua" w:hAnsi="Book Antiqua"/>
          <w:lang w:val="es-ES_tradnl"/>
        </w:rPr>
        <w:t>mas mínimas de conducta que</w:t>
      </w:r>
      <w:r w:rsidR="00B65220" w:rsidRPr="00F7093F">
        <w:rPr>
          <w:rFonts w:ascii="Book Antiqua" w:hAnsi="Book Antiqua"/>
          <w:lang w:val="es-ES_tradnl"/>
        </w:rPr>
        <w:t xml:space="preserve"> los abogados deben desplegar frente a sus representados, colegas, las instituciones de justicia y ante la sociedad en general.</w:t>
      </w:r>
      <w:r w:rsidR="00B65220" w:rsidRPr="00F7093F">
        <w:rPr>
          <w:rFonts w:ascii="Book Antiqua" w:hAnsi="Book Antiqua"/>
          <w:color w:val="000000"/>
          <w:shd w:val="clear" w:color="auto" w:fill="FFFFFF"/>
          <w:lang w:val="es-PR"/>
        </w:rPr>
        <w:t xml:space="preserve">  Los letrados, pues,</w:t>
      </w:r>
      <w:r w:rsidR="00B146B7" w:rsidRPr="00F7093F">
        <w:rPr>
          <w:rFonts w:ascii="Book Antiqua" w:hAnsi="Book Antiqua"/>
          <w:color w:val="000000"/>
          <w:shd w:val="clear" w:color="auto" w:fill="FFFFFF"/>
          <w:lang w:val="es-PR"/>
        </w:rPr>
        <w:t xml:space="preserve"> deben conducirse en forma digna y honorable,</w:t>
      </w:r>
      <w:r w:rsidR="0009352C" w:rsidRPr="00F7093F">
        <w:rPr>
          <w:rFonts w:ascii="Book Antiqua" w:hAnsi="Book Antiqua"/>
          <w:color w:val="000000"/>
          <w:shd w:val="clear" w:color="auto" w:fill="FFFFFF"/>
          <w:lang w:val="es-PR"/>
        </w:rPr>
        <w:t xml:space="preserve"> tanto en la vida privada como e</w:t>
      </w:r>
      <w:r w:rsidR="00B146B7" w:rsidRPr="00F7093F">
        <w:rPr>
          <w:rFonts w:ascii="Book Antiqua" w:hAnsi="Book Antiqua"/>
          <w:color w:val="000000"/>
          <w:shd w:val="clear" w:color="auto" w:fill="FFFFFF"/>
          <w:lang w:val="es-PR"/>
        </w:rPr>
        <w:t>n el desempeño de sus funciones.</w:t>
      </w:r>
      <w:r w:rsidR="002C5454" w:rsidRPr="00F7093F">
        <w:rPr>
          <w:rFonts w:ascii="Book Antiqua" w:hAnsi="Book Antiqua"/>
          <w:color w:val="000000"/>
          <w:shd w:val="clear" w:color="auto" w:fill="FFFFFF"/>
          <w:lang w:val="es-PR"/>
        </w:rPr>
        <w:t xml:space="preserve">  </w:t>
      </w:r>
      <w:r w:rsidR="00B65220" w:rsidRPr="00F7093F">
        <w:rPr>
          <w:rFonts w:ascii="Book Antiqua" w:hAnsi="Book Antiqua"/>
          <w:color w:val="000000"/>
          <w:shd w:val="clear" w:color="auto" w:fill="FFFFFF"/>
          <w:lang w:val="es-PR"/>
        </w:rPr>
        <w:t xml:space="preserve">Conforme a los postulados consagrados en </w:t>
      </w:r>
      <w:r w:rsidR="005F4951" w:rsidRPr="00F7093F">
        <w:rPr>
          <w:rFonts w:ascii="Book Antiqua" w:hAnsi="Book Antiqua"/>
          <w:color w:val="000000"/>
          <w:shd w:val="clear" w:color="auto" w:fill="FFFFFF"/>
          <w:lang w:val="es-PR"/>
        </w:rPr>
        <w:t>dichas Reglas</w:t>
      </w:r>
      <w:r w:rsidR="00B65220" w:rsidRPr="00F7093F">
        <w:rPr>
          <w:rFonts w:ascii="Book Antiqua" w:hAnsi="Book Antiqua"/>
          <w:color w:val="000000"/>
          <w:shd w:val="clear" w:color="auto" w:fill="FFFFFF"/>
          <w:lang w:val="es-PR"/>
        </w:rPr>
        <w:t xml:space="preserve">, </w:t>
      </w:r>
      <w:r w:rsidR="00714125" w:rsidRPr="00F7093F">
        <w:rPr>
          <w:rFonts w:ascii="Book Antiqua" w:hAnsi="Book Antiqua"/>
          <w:lang w:val="es-ES_tradnl"/>
        </w:rPr>
        <w:t>la conducta de los abogados ante los tribunales debe caracterizarse por ser, ante todo, respetuosa</w:t>
      </w:r>
      <w:r w:rsidR="009351DA" w:rsidRPr="00F7093F">
        <w:rPr>
          <w:rFonts w:ascii="Book Antiqua" w:hAnsi="Book Antiqua"/>
          <w:lang w:val="es-ES_tradnl"/>
        </w:rPr>
        <w:t xml:space="preserve"> y ejercer sus funciones de manera</w:t>
      </w:r>
      <w:r w:rsidR="00714125" w:rsidRPr="00F7093F">
        <w:rPr>
          <w:rFonts w:ascii="Book Antiqua" w:hAnsi="Book Antiqua"/>
          <w:color w:val="000000"/>
          <w:shd w:val="clear" w:color="auto" w:fill="FFFFFF"/>
          <w:lang w:val="es-PR"/>
        </w:rPr>
        <w:t xml:space="preserve"> </w:t>
      </w:r>
      <w:r w:rsidR="009351DA" w:rsidRPr="00F7093F">
        <w:rPr>
          <w:rFonts w:ascii="Book Antiqua" w:hAnsi="Book Antiqua"/>
          <w:lang w:val="es-ES_tradnl"/>
        </w:rPr>
        <w:t>responsable, diligente y competente, sin dilaciones que puedan vulnerar la tramitación o la rápida solución de la controversia de que se trate</w:t>
      </w:r>
      <w:r w:rsidR="005E0EF8" w:rsidRPr="00F7093F">
        <w:rPr>
          <w:rFonts w:ascii="Book Antiqua" w:hAnsi="Book Antiqua"/>
          <w:lang w:val="es-ES_tradnl"/>
        </w:rPr>
        <w:t xml:space="preserve">, </w:t>
      </w:r>
      <w:r w:rsidR="005E0EF8" w:rsidRPr="00F7093F">
        <w:rPr>
          <w:rFonts w:ascii="Book Antiqua" w:hAnsi="Book Antiqua"/>
          <w:color w:val="000000"/>
          <w:shd w:val="clear" w:color="auto" w:fill="FFFFFF"/>
          <w:lang w:val="es-PR"/>
        </w:rPr>
        <w:t xml:space="preserve">tal y como dimana del </w:t>
      </w:r>
      <w:r w:rsidR="005E0EF8" w:rsidRPr="00F7093F">
        <w:rPr>
          <w:rFonts w:ascii="Book Antiqua" w:hAnsi="Book Antiqua"/>
          <w:lang w:val="es-ES_tradnl"/>
        </w:rPr>
        <w:t>principio rector de nuestra primera regla procesal</w:t>
      </w:r>
      <w:r w:rsidR="005E0EF8" w:rsidRPr="00F7093F">
        <w:rPr>
          <w:rFonts w:ascii="Book Antiqua" w:hAnsi="Book Antiqua"/>
          <w:color w:val="000000"/>
          <w:shd w:val="clear" w:color="auto" w:fill="FFFFFF"/>
          <w:lang w:val="es-PR"/>
        </w:rPr>
        <w:t xml:space="preserve">.  </w:t>
      </w:r>
    </w:p>
    <w:p w14:paraId="7CAC25BB" w14:textId="77777777" w:rsidR="0009352C" w:rsidRPr="009351DA" w:rsidRDefault="0009352C" w:rsidP="005E76F0">
      <w:pPr>
        <w:ind w:firstLine="567"/>
        <w:jc w:val="both"/>
        <w:rPr>
          <w:rFonts w:ascii="Book Antiqua" w:hAnsi="Book Antiqua"/>
          <w:color w:val="000000"/>
          <w:shd w:val="clear" w:color="auto" w:fill="FFFFFF"/>
          <w:lang w:val="es-PR"/>
        </w:rPr>
      </w:pPr>
    </w:p>
    <w:p w14:paraId="73306A3F" w14:textId="55B8F9F2" w:rsidR="002B3E7C" w:rsidRPr="00F7093F" w:rsidRDefault="006104FD" w:rsidP="005E76F0">
      <w:pPr>
        <w:ind w:firstLine="567"/>
        <w:jc w:val="both"/>
        <w:rPr>
          <w:rFonts w:ascii="Book Antiqua" w:hAnsi="Book Antiqua"/>
          <w:lang w:val="es-ES_tradnl"/>
        </w:rPr>
      </w:pPr>
      <w:r w:rsidRPr="00F7093F">
        <w:rPr>
          <w:rFonts w:ascii="Book Antiqua" w:hAnsi="Book Antiqua"/>
          <w:color w:val="000000"/>
          <w:shd w:val="clear" w:color="auto" w:fill="FFFFFF"/>
          <w:lang w:val="es-PR"/>
        </w:rPr>
        <w:t>En atenci</w:t>
      </w:r>
      <w:r w:rsidR="00F23C8C" w:rsidRPr="00F7093F">
        <w:rPr>
          <w:rFonts w:ascii="Book Antiqua" w:hAnsi="Book Antiqua"/>
          <w:color w:val="000000"/>
          <w:shd w:val="clear" w:color="auto" w:fill="FFFFFF"/>
          <w:lang w:val="es-PR"/>
        </w:rPr>
        <w:t>ón a lo anterior</w:t>
      </w:r>
      <w:r w:rsidR="0009352C" w:rsidRPr="00F7093F">
        <w:rPr>
          <w:rFonts w:ascii="Book Antiqua" w:hAnsi="Book Antiqua"/>
          <w:color w:val="000000"/>
          <w:shd w:val="clear" w:color="auto" w:fill="FFFFFF"/>
          <w:lang w:val="es-PR"/>
        </w:rPr>
        <w:t>, la</w:t>
      </w:r>
      <w:r w:rsidR="0009352C" w:rsidRPr="00F7093F">
        <w:rPr>
          <w:rStyle w:val="apple-converted-space"/>
          <w:rFonts w:ascii="Book Antiqua" w:hAnsi="Book Antiqua"/>
          <w:color w:val="000000"/>
          <w:shd w:val="clear" w:color="auto" w:fill="FFFFFF"/>
          <w:lang w:val="es-PR"/>
        </w:rPr>
        <w:t xml:space="preserve"> Regla 9.3</w:t>
      </w:r>
      <w:r w:rsidR="0009352C" w:rsidRPr="00F7093F">
        <w:rPr>
          <w:rFonts w:ascii="Book Antiqua" w:hAnsi="Book Antiqua"/>
          <w:color w:val="000000"/>
          <w:shd w:val="clear" w:color="auto" w:fill="FFFFFF"/>
          <w:lang w:val="es-PR"/>
        </w:rPr>
        <w:t xml:space="preserve"> de las </w:t>
      </w:r>
      <w:r w:rsidR="00A45D98" w:rsidRPr="00F7093F">
        <w:rPr>
          <w:rFonts w:ascii="Book Antiqua" w:hAnsi="Book Antiqua"/>
          <w:color w:val="000000"/>
          <w:shd w:val="clear" w:color="auto" w:fill="FFFFFF"/>
          <w:lang w:val="es-PR"/>
        </w:rPr>
        <w:t xml:space="preserve">Reglas </w:t>
      </w:r>
      <w:r w:rsidR="0009352C" w:rsidRPr="00F7093F">
        <w:rPr>
          <w:rFonts w:ascii="Book Antiqua" w:hAnsi="Book Antiqua"/>
          <w:color w:val="000000"/>
          <w:shd w:val="clear" w:color="auto" w:fill="FFFFFF"/>
          <w:lang w:val="es-PR"/>
        </w:rPr>
        <w:t>de Procedimiento Civil</w:t>
      </w:r>
      <w:r w:rsidR="00B079B7" w:rsidRPr="00F7093F">
        <w:rPr>
          <w:rFonts w:ascii="Book Antiqua" w:hAnsi="Book Antiqua"/>
          <w:lang w:val="es-ES_tradnl"/>
        </w:rPr>
        <w:t xml:space="preserve"> de Puerto Rico</w:t>
      </w:r>
      <w:r w:rsidR="0009352C" w:rsidRPr="00F7093F">
        <w:rPr>
          <w:rFonts w:ascii="Book Antiqua" w:hAnsi="Book Antiqua"/>
          <w:color w:val="000000"/>
          <w:shd w:val="clear" w:color="auto" w:fill="FFFFFF"/>
          <w:lang w:val="es-PR"/>
        </w:rPr>
        <w:t xml:space="preserve">, según enmendadas, </w:t>
      </w:r>
      <w:r w:rsidR="002B3E7C" w:rsidRPr="00F7093F">
        <w:rPr>
          <w:rFonts w:ascii="Book Antiqua" w:hAnsi="Book Antiqua"/>
          <w:color w:val="000000"/>
          <w:shd w:val="clear" w:color="auto" w:fill="FFFFFF"/>
          <w:lang w:val="es-PR"/>
        </w:rPr>
        <w:t xml:space="preserve">establece que </w:t>
      </w:r>
      <w:r w:rsidR="002B3E7C" w:rsidRPr="00F7093F">
        <w:rPr>
          <w:rFonts w:ascii="Book Antiqua" w:hAnsi="Book Antiqua"/>
          <w:lang w:val="es-ES_tradnl"/>
        </w:rPr>
        <w:t xml:space="preserve">el tribunal puede, </w:t>
      </w:r>
      <w:r w:rsidR="002B3E7C" w:rsidRPr="00F7093F">
        <w:rPr>
          <w:rFonts w:ascii="Book Antiqua" w:hAnsi="Book Antiqua"/>
          <w:i/>
          <w:lang w:val="es-ES_tradnl"/>
        </w:rPr>
        <w:t>motu proprio</w:t>
      </w:r>
      <w:r w:rsidR="002B3E7C" w:rsidRPr="00F7093F">
        <w:rPr>
          <w:rFonts w:ascii="Book Antiqua" w:hAnsi="Book Antiqua"/>
          <w:lang w:val="es-ES_tradnl"/>
        </w:rPr>
        <w:t xml:space="preserve"> o a solicitud de parte, sancionar económicamente o hasta descalificar a un abogado por </w:t>
      </w:r>
      <w:r w:rsidR="00606A62" w:rsidRPr="00F7093F">
        <w:rPr>
          <w:rFonts w:ascii="Book Antiqua" w:hAnsi="Book Antiqua"/>
          <w:lang w:val="es-ES_tradnl"/>
        </w:rPr>
        <w:t xml:space="preserve">incurrir en </w:t>
      </w:r>
      <w:r w:rsidR="002B3E7C" w:rsidRPr="00F7093F">
        <w:rPr>
          <w:rFonts w:ascii="Book Antiqua" w:hAnsi="Book Antiqua"/>
          <w:lang w:val="es-ES_tradnl"/>
        </w:rPr>
        <w:t>conducta disruptiva que constituya un obstáculo para la marcha adecuada de los procedimientos o porque reiteradamente transgreda sus deberes hacia el foro judicial, sus clientes o sus compañeros abogados.</w:t>
      </w:r>
      <w:r w:rsidR="00F23C8C" w:rsidRPr="00F7093F">
        <w:rPr>
          <w:rFonts w:ascii="Book Antiqua" w:hAnsi="Book Antiqua"/>
          <w:lang w:val="es-ES_tradnl"/>
        </w:rPr>
        <w:t xml:space="preserve">  Ello, como corolario del poder inherente que el Tribunal Supremo de Puerto Rico le ha reconocido al Tribunal de Primera Instancia para entender y resolver mociones de descalificación.</w:t>
      </w:r>
    </w:p>
    <w:p w14:paraId="2368E1B5" w14:textId="77777777" w:rsidR="00F23C8C" w:rsidRPr="00F7093F" w:rsidRDefault="00F23C8C" w:rsidP="005E76F0">
      <w:pPr>
        <w:ind w:firstLine="567"/>
        <w:jc w:val="both"/>
        <w:rPr>
          <w:rFonts w:ascii="Book Antiqua" w:hAnsi="Book Antiqua"/>
          <w:lang w:val="es-ES_tradnl"/>
        </w:rPr>
      </w:pPr>
    </w:p>
    <w:p w14:paraId="09A7A91C" w14:textId="2638812B" w:rsidR="009A32DE" w:rsidRPr="00F7093F" w:rsidRDefault="009A42D0" w:rsidP="005E76F0">
      <w:pPr>
        <w:ind w:firstLine="567"/>
        <w:jc w:val="both"/>
        <w:rPr>
          <w:rFonts w:ascii="Book Antiqua" w:hAnsi="Book Antiqua"/>
          <w:lang w:val="es-ES_tradnl"/>
        </w:rPr>
      </w:pPr>
      <w:r w:rsidRPr="00F7093F">
        <w:rPr>
          <w:rFonts w:ascii="Book Antiqua" w:hAnsi="Book Antiqua"/>
          <w:lang w:val="es-ES_tradnl"/>
        </w:rPr>
        <w:t xml:space="preserve">Si bien nuestro Máximo Foro Judicial le ha conferido tal facultad al foro primario, reiteradamente ha resuelto que </w:t>
      </w:r>
      <w:r w:rsidR="00755AC2" w:rsidRPr="00F7093F">
        <w:rPr>
          <w:rFonts w:ascii="Book Antiqua" w:hAnsi="Book Antiqua"/>
          <w:lang w:val="es-ES_tradnl"/>
        </w:rPr>
        <w:t>la descalificación de un abogado no debe impon</w:t>
      </w:r>
      <w:r w:rsidR="009A32DE" w:rsidRPr="00F7093F">
        <w:rPr>
          <w:rFonts w:ascii="Book Antiqua" w:hAnsi="Book Antiqua"/>
          <w:lang w:val="es-ES_tradnl"/>
        </w:rPr>
        <w:t xml:space="preserve">erse livianamente por las repercusiones que tal determinación conlleva para la parte, el abogado y el manejo del caso. </w:t>
      </w:r>
      <w:r w:rsidR="00386CDC" w:rsidRPr="00F7093F">
        <w:rPr>
          <w:rFonts w:ascii="Book Antiqua" w:hAnsi="Book Antiqua"/>
          <w:lang w:val="es-ES_tradnl"/>
        </w:rPr>
        <w:t>Como se sabe, l</w:t>
      </w:r>
      <w:r w:rsidR="00CD6369" w:rsidRPr="00F7093F">
        <w:rPr>
          <w:rFonts w:ascii="Book Antiqua" w:hAnsi="Book Antiqua"/>
          <w:lang w:val="es-ES_tradnl"/>
        </w:rPr>
        <w:t>a</w:t>
      </w:r>
      <w:r w:rsidR="00D24B39" w:rsidRPr="00F7093F">
        <w:rPr>
          <w:rFonts w:ascii="Book Antiqua" w:hAnsi="Book Antiqua"/>
          <w:lang w:val="es-ES_tradnl"/>
        </w:rPr>
        <w:t xml:space="preserve"> descalificación </w:t>
      </w:r>
      <w:r w:rsidR="009A32DE" w:rsidRPr="00F7093F">
        <w:rPr>
          <w:rFonts w:ascii="Book Antiqua" w:hAnsi="Book Antiqua"/>
          <w:lang w:val="es-ES_tradnl"/>
        </w:rPr>
        <w:t xml:space="preserve">incide, no sólo en el derecho </w:t>
      </w:r>
      <w:r w:rsidR="00CF3215" w:rsidRPr="00F7093F">
        <w:rPr>
          <w:rFonts w:ascii="Book Antiqua" w:hAnsi="Book Antiqua"/>
          <w:lang w:val="es-ES_tradnl"/>
        </w:rPr>
        <w:t xml:space="preserve">constitucional </w:t>
      </w:r>
      <w:r w:rsidR="009A32DE" w:rsidRPr="00F7093F">
        <w:rPr>
          <w:rFonts w:ascii="Book Antiqua" w:hAnsi="Book Antiqua"/>
          <w:lang w:val="es-ES_tradnl"/>
        </w:rPr>
        <w:t>de libre selección de abogado que le asiste al litigante, sino también dilata los procedimientos en lo que la parte realiza una búsqueda de nueva representación profesional, con la carga económica adicional que ello apareja.</w:t>
      </w:r>
      <w:r w:rsidR="00ED4191" w:rsidRPr="00F7093F">
        <w:rPr>
          <w:rFonts w:ascii="Book Antiqua" w:hAnsi="Book Antiqua"/>
          <w:lang w:val="es-ES_tradnl"/>
        </w:rPr>
        <w:t xml:space="preserve">  </w:t>
      </w:r>
      <w:r w:rsidR="00386CDC" w:rsidRPr="00F7093F">
        <w:rPr>
          <w:rFonts w:ascii="Book Antiqua" w:hAnsi="Book Antiqua"/>
          <w:lang w:val="es-ES_tradnl"/>
        </w:rPr>
        <w:t>Por lo tanto, l</w:t>
      </w:r>
      <w:r w:rsidR="00ED4191" w:rsidRPr="00F7093F">
        <w:rPr>
          <w:rFonts w:ascii="Book Antiqua" w:hAnsi="Book Antiqua"/>
          <w:lang w:val="es-ES_tradnl"/>
        </w:rPr>
        <w:t>a jurisprudencia ha sido clara al determinar que los tribunales deben ejercer la facultad otorgada por la referida regla restrictivamente.</w:t>
      </w:r>
    </w:p>
    <w:p w14:paraId="000F4E2C" w14:textId="77777777" w:rsidR="00ED4191" w:rsidRPr="00F7093F" w:rsidRDefault="00ED4191" w:rsidP="005E76F0">
      <w:pPr>
        <w:ind w:firstLine="567"/>
        <w:jc w:val="both"/>
        <w:rPr>
          <w:rFonts w:ascii="Book Antiqua" w:hAnsi="Book Antiqua"/>
          <w:lang w:val="es-ES_tradnl"/>
        </w:rPr>
      </w:pPr>
    </w:p>
    <w:p w14:paraId="6636ADE5" w14:textId="79B03883" w:rsidR="00091F18" w:rsidRPr="00895D06" w:rsidRDefault="00091F18" w:rsidP="005E76F0">
      <w:pPr>
        <w:ind w:firstLine="567"/>
        <w:jc w:val="both"/>
        <w:rPr>
          <w:rFonts w:ascii="Book Antiqua" w:hAnsi="Book Antiqua" w:cs="Verdana"/>
          <w:color w:val="000000"/>
          <w:lang w:val="es-ES_tradnl"/>
        </w:rPr>
      </w:pPr>
      <w:r w:rsidRPr="00F7093F">
        <w:rPr>
          <w:rFonts w:ascii="Book Antiqua" w:hAnsi="Book Antiqua"/>
          <w:color w:val="000000"/>
          <w:shd w:val="clear" w:color="auto" w:fill="FFFFFF"/>
          <w:lang w:val="es-ES_tradnl"/>
        </w:rPr>
        <w:lastRenderedPageBreak/>
        <w:t xml:space="preserve">Como ocurre en todos los casos en que se confiere discreción judicial, ésta no se da en un vacío ni en ausencia de unos criterios.  En atención a lo anterior, </w:t>
      </w:r>
      <w:r w:rsidRPr="00F7093F">
        <w:rPr>
          <w:rStyle w:val="apple-converted-space"/>
          <w:rFonts w:ascii="Book Antiqua" w:hAnsi="Book Antiqua"/>
          <w:color w:val="000000"/>
          <w:shd w:val="clear" w:color="auto" w:fill="FFFFFF"/>
          <w:lang w:val="es-PR"/>
        </w:rPr>
        <w:t>esta Asamblea</w:t>
      </w:r>
      <w:r w:rsidRPr="002C4D28">
        <w:rPr>
          <w:rStyle w:val="apple-converted-space"/>
          <w:rFonts w:ascii="Book Antiqua" w:hAnsi="Book Antiqua"/>
          <w:color w:val="000000"/>
          <w:shd w:val="clear" w:color="auto" w:fill="FFFFFF"/>
          <w:lang w:val="es-PR"/>
        </w:rPr>
        <w:t xml:space="preserve"> </w:t>
      </w:r>
      <w:r w:rsidRPr="00F7093F">
        <w:rPr>
          <w:rStyle w:val="apple-converted-space"/>
          <w:rFonts w:ascii="Book Antiqua" w:hAnsi="Book Antiqua"/>
          <w:color w:val="000000"/>
          <w:shd w:val="clear" w:color="auto" w:fill="FFFFFF"/>
          <w:lang w:val="es-PR"/>
        </w:rPr>
        <w:t xml:space="preserve">Legislativa considera necesario enmendar la </w:t>
      </w:r>
      <w:r w:rsidRPr="00F7093F">
        <w:rPr>
          <w:rFonts w:ascii="Book Antiqua" w:hAnsi="Book Antiqua"/>
          <w:lang w:val="es-ES_tradnl"/>
        </w:rPr>
        <w:t xml:space="preserve">Regla 9.3 de las </w:t>
      </w:r>
      <w:r w:rsidR="00737973" w:rsidRPr="00F7093F">
        <w:rPr>
          <w:rFonts w:ascii="Book Antiqua" w:hAnsi="Book Antiqua"/>
          <w:lang w:val="es-ES_tradnl"/>
        </w:rPr>
        <w:t xml:space="preserve">Reglas </w:t>
      </w:r>
      <w:r w:rsidRPr="00F7093F">
        <w:rPr>
          <w:rFonts w:ascii="Book Antiqua" w:hAnsi="Book Antiqua"/>
          <w:lang w:val="es-ES_tradnl"/>
        </w:rPr>
        <w:t>de Procedimiento</w:t>
      </w:r>
      <w:r w:rsidRPr="00102F37">
        <w:rPr>
          <w:rFonts w:ascii="Book Antiqua" w:hAnsi="Book Antiqua"/>
          <w:lang w:val="es-ES_tradnl"/>
        </w:rPr>
        <w:t xml:space="preserve"> Civil</w:t>
      </w:r>
      <w:r w:rsidRPr="002C4D28">
        <w:rPr>
          <w:rFonts w:ascii="Book Antiqua" w:hAnsi="Book Antiqua"/>
          <w:lang w:val="es-ES_tradnl"/>
        </w:rPr>
        <w:t xml:space="preserve">, </w:t>
      </w:r>
      <w:r w:rsidRPr="002C4D28">
        <w:rPr>
          <w:rFonts w:ascii="Book Antiqua" w:hAnsi="Book Antiqua"/>
          <w:i/>
          <w:lang w:val="es-ES_tradnl"/>
        </w:rPr>
        <w:t>supra</w:t>
      </w:r>
      <w:r w:rsidRPr="002C4D28">
        <w:rPr>
          <w:rFonts w:ascii="Book Antiqua" w:hAnsi="Book Antiqua"/>
          <w:lang w:val="es-ES_tradnl"/>
        </w:rPr>
        <w:t xml:space="preserve">, </w:t>
      </w:r>
      <w:r>
        <w:rPr>
          <w:rFonts w:ascii="Book Antiqua" w:hAnsi="Book Antiqua"/>
          <w:lang w:val="es-ES_tradnl"/>
        </w:rPr>
        <w:t xml:space="preserve">para </w:t>
      </w:r>
      <w:r w:rsidRPr="008F5868">
        <w:rPr>
          <w:rFonts w:ascii="Book Antiqua" w:hAnsi="Book Antiqua"/>
          <w:color w:val="000000"/>
          <w:shd w:val="clear" w:color="auto" w:fill="FFFFFF"/>
          <w:lang w:val="es-ES_tradnl"/>
        </w:rPr>
        <w:t>detalla</w:t>
      </w:r>
      <w:r>
        <w:rPr>
          <w:rFonts w:ascii="Book Antiqua" w:hAnsi="Book Antiqua"/>
          <w:color w:val="000000"/>
          <w:shd w:val="clear" w:color="auto" w:fill="FFFFFF"/>
          <w:lang w:val="es-ES_tradnl"/>
        </w:rPr>
        <w:t>r</w:t>
      </w:r>
      <w:r w:rsidRPr="008F5868">
        <w:rPr>
          <w:rFonts w:ascii="Book Antiqua" w:hAnsi="Book Antiqua"/>
          <w:color w:val="000000"/>
          <w:shd w:val="clear" w:color="auto" w:fill="FFFFFF"/>
          <w:lang w:val="es-ES_tradnl"/>
        </w:rPr>
        <w:t xml:space="preserve"> los </w:t>
      </w:r>
      <w:r>
        <w:rPr>
          <w:rFonts w:ascii="Book Antiqua" w:hAnsi="Book Antiqua"/>
          <w:color w:val="000000"/>
          <w:shd w:val="clear" w:color="auto" w:fill="FFFFFF"/>
          <w:lang w:val="es-ES_tradnl"/>
        </w:rPr>
        <w:t>parámetros que deberá</w:t>
      </w:r>
      <w:r w:rsidRPr="008F5868">
        <w:rPr>
          <w:rFonts w:ascii="Book Antiqua" w:hAnsi="Book Antiqua"/>
          <w:color w:val="000000"/>
          <w:shd w:val="clear" w:color="auto" w:fill="FFFFFF"/>
          <w:lang w:val="es-ES_tradnl"/>
        </w:rPr>
        <w:t xml:space="preserve"> </w:t>
      </w:r>
      <w:r>
        <w:rPr>
          <w:rFonts w:ascii="Book Antiqua" w:hAnsi="Book Antiqua"/>
          <w:color w:val="000000"/>
          <w:shd w:val="clear" w:color="auto" w:fill="FFFFFF"/>
          <w:lang w:val="es-ES_tradnl"/>
        </w:rPr>
        <w:t>considerar el juzgador p</w:t>
      </w:r>
      <w:r w:rsidRPr="008F5868">
        <w:rPr>
          <w:rFonts w:ascii="Book Antiqua" w:hAnsi="Book Antiqua"/>
          <w:color w:val="000000"/>
          <w:shd w:val="clear" w:color="auto" w:fill="FFFFFF"/>
          <w:lang w:val="es-ES_tradnl"/>
        </w:rPr>
        <w:t xml:space="preserve">ara ejercer </w:t>
      </w:r>
      <w:r w:rsidR="00D9683A">
        <w:rPr>
          <w:rFonts w:ascii="Book Antiqua" w:hAnsi="Book Antiqua"/>
          <w:color w:val="000000"/>
          <w:shd w:val="clear" w:color="auto" w:fill="FFFFFF"/>
          <w:lang w:val="es-ES_tradnl"/>
        </w:rPr>
        <w:t xml:space="preserve">dicha </w:t>
      </w:r>
      <w:r w:rsidRPr="008F5868">
        <w:rPr>
          <w:rFonts w:ascii="Book Antiqua" w:hAnsi="Book Antiqua"/>
          <w:color w:val="000000"/>
          <w:shd w:val="clear" w:color="auto" w:fill="FFFFFF"/>
          <w:lang w:val="es-ES_tradnl"/>
        </w:rPr>
        <w:t>facultad discrecional</w:t>
      </w:r>
      <w:r w:rsidR="00F80BE0">
        <w:rPr>
          <w:rFonts w:ascii="Book Antiqua" w:hAnsi="Book Antiqua"/>
          <w:color w:val="000000"/>
          <w:shd w:val="clear" w:color="auto" w:fill="FFFFFF"/>
          <w:lang w:val="es-ES_tradnl"/>
        </w:rPr>
        <w:t>.</w:t>
      </w:r>
      <w:r>
        <w:rPr>
          <w:rFonts w:ascii="Book Antiqua" w:hAnsi="Book Antiqua"/>
          <w:color w:val="000000"/>
          <w:shd w:val="clear" w:color="auto" w:fill="FFFFFF"/>
          <w:lang w:val="es-ES_tradnl"/>
        </w:rPr>
        <w:t xml:space="preserve"> </w:t>
      </w:r>
      <w:r w:rsidRPr="00EB7284">
        <w:rPr>
          <w:rFonts w:ascii="Book Antiqua" w:hAnsi="Book Antiqua" w:cs="Arial"/>
          <w:color w:val="000000"/>
          <w:spacing w:val="8"/>
          <w:shd w:val="clear" w:color="auto" w:fill="FFFFFF"/>
          <w:lang w:val="es-PR"/>
        </w:rPr>
        <w:t xml:space="preserve">De tal forma, establecemos unos criterios que auxilien al </w:t>
      </w:r>
      <w:r w:rsidR="00F80BE0">
        <w:rPr>
          <w:rFonts w:ascii="Book Antiqua" w:hAnsi="Book Antiqua" w:cs="Arial"/>
          <w:color w:val="000000"/>
          <w:spacing w:val="8"/>
          <w:shd w:val="clear" w:color="auto" w:fill="FFFFFF"/>
          <w:lang w:val="es-PR"/>
        </w:rPr>
        <w:t>Tribunal</w:t>
      </w:r>
      <w:r w:rsidRPr="00EB7284">
        <w:rPr>
          <w:rFonts w:ascii="Book Antiqua" w:hAnsi="Book Antiqua" w:cs="Arial"/>
          <w:color w:val="000000"/>
          <w:spacing w:val="8"/>
          <w:shd w:val="clear" w:color="auto" w:fill="FFFFFF"/>
          <w:lang w:val="es-PR"/>
        </w:rPr>
        <w:t xml:space="preserve"> a determinar si la </w:t>
      </w:r>
      <w:r>
        <w:rPr>
          <w:rFonts w:ascii="Book Antiqua" w:hAnsi="Book Antiqua" w:cs="Arial"/>
          <w:color w:val="000000"/>
          <w:spacing w:val="8"/>
          <w:shd w:val="clear" w:color="auto" w:fill="FFFFFF"/>
          <w:lang w:val="es-PR"/>
        </w:rPr>
        <w:t xml:space="preserve">solicitud de </w:t>
      </w:r>
      <w:r w:rsidRPr="00EB7284">
        <w:rPr>
          <w:rFonts w:ascii="Book Antiqua" w:hAnsi="Book Antiqua" w:cs="Arial"/>
          <w:color w:val="000000"/>
          <w:spacing w:val="8"/>
          <w:shd w:val="clear" w:color="auto" w:fill="FFFFFF"/>
          <w:lang w:val="es-PR"/>
        </w:rPr>
        <w:t xml:space="preserve">descalificación se presenta como </w:t>
      </w:r>
      <w:r w:rsidRPr="00EB7284">
        <w:rPr>
          <w:rFonts w:ascii="Book Antiqua" w:hAnsi="Book Antiqua"/>
          <w:lang w:val="es-ES_tradnl"/>
        </w:rPr>
        <w:t>método dilatorio o como un mecanismo para ganar ventaja, sin menoscabar el grado de discreción del juzgador para entender en la petición en cuestión.</w:t>
      </w:r>
    </w:p>
    <w:p w14:paraId="5ABA2812" w14:textId="77777777" w:rsidR="00091F18" w:rsidRDefault="00091F18" w:rsidP="00091F18">
      <w:pPr>
        <w:ind w:firstLine="720"/>
        <w:jc w:val="both"/>
        <w:rPr>
          <w:rFonts w:ascii="Book Antiqua" w:hAnsi="Book Antiqua"/>
          <w:color w:val="000000"/>
          <w:shd w:val="clear" w:color="auto" w:fill="FFFFFF"/>
          <w:lang w:val="es-ES_tradnl"/>
        </w:rPr>
      </w:pPr>
    </w:p>
    <w:bookmarkEnd w:id="0"/>
    <w:p w14:paraId="32A02803" w14:textId="77777777" w:rsidR="0009352C" w:rsidRPr="002C4D28" w:rsidRDefault="0009352C" w:rsidP="0009352C">
      <w:pPr>
        <w:spacing w:line="480" w:lineRule="auto"/>
        <w:jc w:val="both"/>
        <w:rPr>
          <w:rFonts w:ascii="Book Antiqua" w:hAnsi="Book Antiqua"/>
          <w:bCs/>
          <w:i/>
          <w:lang w:val="es-ES_tradnl"/>
        </w:rPr>
      </w:pPr>
      <w:r w:rsidRPr="002C4D28">
        <w:rPr>
          <w:rFonts w:ascii="Book Antiqua" w:hAnsi="Book Antiqua"/>
          <w:bCs/>
          <w:i/>
          <w:lang w:val="es-ES_tradnl"/>
        </w:rPr>
        <w:t>DECRÉTASE POR LA ASAMBLEA LEGISLATIVA DE PUERTO RICO:</w:t>
      </w:r>
    </w:p>
    <w:p w14:paraId="452BBD07" w14:textId="77777777" w:rsidR="0009352C" w:rsidRPr="001E03B8" w:rsidRDefault="0009352C" w:rsidP="0009352C">
      <w:pPr>
        <w:spacing w:line="480" w:lineRule="auto"/>
        <w:jc w:val="both"/>
        <w:rPr>
          <w:rFonts w:ascii="Book Antiqua" w:hAnsi="Book Antiqua"/>
          <w:bCs/>
          <w:lang w:val="es-ES_tradnl"/>
        </w:rPr>
        <w:sectPr w:rsidR="0009352C" w:rsidRPr="001E03B8" w:rsidSect="00C244B3">
          <w:headerReference w:type="even" r:id="rId11"/>
          <w:headerReference w:type="default" r:id="rId12"/>
          <w:headerReference w:type="first" r:id="rId13"/>
          <w:pgSz w:w="12240" w:h="15840"/>
          <w:pgMar w:top="1440" w:right="1440" w:bottom="1440" w:left="1440" w:header="720" w:footer="720" w:gutter="0"/>
          <w:pgNumType w:start="1"/>
          <w:cols w:space="720"/>
          <w:titlePg/>
        </w:sectPr>
      </w:pPr>
    </w:p>
    <w:p w14:paraId="39FF8963" w14:textId="71C8F288" w:rsidR="0009352C" w:rsidRPr="00F7093F" w:rsidRDefault="004A474D" w:rsidP="00F7093F">
      <w:pPr>
        <w:ind w:firstLine="567"/>
        <w:jc w:val="both"/>
        <w:rPr>
          <w:rFonts w:ascii="Book Antiqua" w:hAnsi="Book Antiqua"/>
          <w:lang w:val="es-ES_tradnl"/>
        </w:rPr>
      </w:pPr>
      <w:r w:rsidRPr="00F7093F">
        <w:rPr>
          <w:rFonts w:ascii="Book Antiqua" w:hAnsi="Book Antiqua"/>
          <w:lang w:val="es-ES_tradnl"/>
        </w:rPr>
        <w:t>Sección</w:t>
      </w:r>
      <w:r w:rsidR="0009352C" w:rsidRPr="00F7093F">
        <w:rPr>
          <w:rFonts w:ascii="Book Antiqua" w:hAnsi="Book Antiqua"/>
          <w:lang w:val="es-ES_tradnl"/>
        </w:rPr>
        <w:t xml:space="preserve"> 1.-Se enmienda la Regla 9.3 de las</w:t>
      </w:r>
      <w:r w:rsidR="00737973" w:rsidRPr="00F7093F">
        <w:rPr>
          <w:rFonts w:ascii="Book Antiqua" w:hAnsi="Book Antiqua"/>
          <w:lang w:val="es-ES_tradnl"/>
        </w:rPr>
        <w:t xml:space="preserve"> Reglas</w:t>
      </w:r>
      <w:r w:rsidR="0009352C" w:rsidRPr="00F7093F">
        <w:rPr>
          <w:rFonts w:ascii="Book Antiqua" w:hAnsi="Book Antiqua"/>
          <w:lang w:val="es-ES_tradnl"/>
        </w:rPr>
        <w:t xml:space="preserve"> de Procedimiento Civil</w:t>
      </w:r>
      <w:r w:rsidR="00B079B7" w:rsidRPr="00F7093F">
        <w:rPr>
          <w:rFonts w:ascii="Book Antiqua" w:hAnsi="Book Antiqua"/>
          <w:lang w:val="es-ES_tradnl"/>
        </w:rPr>
        <w:t xml:space="preserve"> de Puerto Rico</w:t>
      </w:r>
      <w:r w:rsidR="0009352C" w:rsidRPr="00F7093F">
        <w:rPr>
          <w:rFonts w:ascii="Book Antiqua" w:hAnsi="Book Antiqua"/>
          <w:lang w:val="es-ES_tradnl"/>
        </w:rPr>
        <w:t xml:space="preserve">, según enmendadas, para que se lea como sigue: </w:t>
      </w:r>
    </w:p>
    <w:p w14:paraId="236C6A26" w14:textId="77777777" w:rsidR="00F7093F" w:rsidRPr="00403538" w:rsidRDefault="00F7093F" w:rsidP="00F7093F">
      <w:pPr>
        <w:ind w:firstLine="567"/>
        <w:jc w:val="both"/>
        <w:rPr>
          <w:rFonts w:ascii="Book Antiqua" w:hAnsi="Book Antiqua"/>
          <w:lang w:val="es-ES_tradnl"/>
        </w:rPr>
      </w:pPr>
    </w:p>
    <w:p w14:paraId="1B467E9F" w14:textId="77777777" w:rsidR="0009352C" w:rsidRDefault="0009352C" w:rsidP="00F7093F">
      <w:pPr>
        <w:ind w:left="720" w:firstLine="567"/>
        <w:jc w:val="both"/>
        <w:rPr>
          <w:rFonts w:ascii="Book Antiqua" w:hAnsi="Book Antiqua"/>
          <w:lang w:val="es-ES"/>
        </w:rPr>
      </w:pPr>
      <w:r w:rsidRPr="00403538">
        <w:rPr>
          <w:rFonts w:ascii="Book Antiqua" w:hAnsi="Book Antiqua"/>
          <w:lang w:val="es-ES_tradnl"/>
        </w:rPr>
        <w:t>“</w:t>
      </w:r>
      <w:r w:rsidRPr="00403538">
        <w:rPr>
          <w:rFonts w:ascii="Book Antiqua" w:hAnsi="Book Antiqua"/>
          <w:bCs/>
          <w:lang w:val="es-ES_tradnl"/>
        </w:rPr>
        <w:t>Regla 9.3. Conducta</w:t>
      </w:r>
      <w:r w:rsidRPr="00403538">
        <w:rPr>
          <w:rFonts w:ascii="Book Antiqua" w:hAnsi="Book Antiqua"/>
          <w:lang w:val="es-ES"/>
        </w:rPr>
        <w:t>.</w:t>
      </w:r>
    </w:p>
    <w:p w14:paraId="200DD9D3" w14:textId="77777777" w:rsidR="00F7093F" w:rsidRPr="00403538" w:rsidRDefault="00F7093F" w:rsidP="00F7093F">
      <w:pPr>
        <w:ind w:left="720" w:firstLine="567"/>
        <w:jc w:val="both"/>
        <w:rPr>
          <w:rFonts w:ascii="Book Antiqua" w:hAnsi="Book Antiqua"/>
          <w:lang w:val="es-ES_tradnl"/>
        </w:rPr>
      </w:pPr>
    </w:p>
    <w:p w14:paraId="7A746390" w14:textId="77777777" w:rsidR="00956768" w:rsidRPr="00F7093F" w:rsidRDefault="00956768" w:rsidP="00F7093F">
      <w:pPr>
        <w:ind w:left="1440" w:firstLine="567"/>
        <w:jc w:val="both"/>
        <w:rPr>
          <w:rFonts w:ascii="Book Antiqua" w:hAnsi="Book Antiqua"/>
          <w:lang w:val="es-ES_tradnl"/>
        </w:rPr>
      </w:pPr>
      <w:r w:rsidRPr="00F7093F">
        <w:rPr>
          <w:rFonts w:ascii="Book Antiqua" w:hAnsi="Book Antiqua"/>
          <w:lang w:val="es-ES_tradnl"/>
        </w:rPr>
        <w:t xml:space="preserve">La comparecencia de un abogado o abogada a cualquier vista, conferencia o procedimiento sin estar debidamente preparado(a) podrá ser considerada conducta constitutiva de obstáculo para la sana administración de la justicia. El Tribunal, en el ejercicio de su poder inherente de supervisar la conducta de </w:t>
      </w:r>
      <w:proofErr w:type="gramStart"/>
      <w:r w:rsidRPr="00F7093F">
        <w:rPr>
          <w:rFonts w:ascii="Book Antiqua" w:hAnsi="Book Antiqua"/>
          <w:lang w:val="es-ES_tradnl"/>
        </w:rPr>
        <w:t>los abogados y abogadas</w:t>
      </w:r>
      <w:proofErr w:type="gramEnd"/>
      <w:r w:rsidRPr="00F7093F">
        <w:rPr>
          <w:rFonts w:ascii="Book Antiqua" w:hAnsi="Book Antiqua"/>
          <w:lang w:val="es-ES_tradnl"/>
        </w:rPr>
        <w:t xml:space="preserve"> que postulan ante sí, podrá, a iniciativa propia o a solicitud de parte, imponer sanciones económicas o de otra naturaleza o descalificar a un abogado o abogada que incurra en conducta que constituya un obstáculo para la sana administración de la justicia o infrinja sus deberes hacia el Tribunal, sus representados(as) o sus compañeros(as) abogados(as).</w:t>
      </w:r>
    </w:p>
    <w:p w14:paraId="5CE70691" w14:textId="77777777" w:rsidR="00F7093F" w:rsidRPr="00403538" w:rsidRDefault="00F7093F" w:rsidP="00F7093F">
      <w:pPr>
        <w:ind w:left="1440" w:firstLine="567"/>
        <w:jc w:val="both"/>
        <w:rPr>
          <w:rFonts w:ascii="Book Antiqua" w:hAnsi="Book Antiqua"/>
          <w:lang w:val="es-ES_tradnl"/>
        </w:rPr>
      </w:pPr>
    </w:p>
    <w:p w14:paraId="5E1C884B" w14:textId="6E215406" w:rsidR="00AE0349" w:rsidRPr="00F7093F" w:rsidRDefault="00AE0349" w:rsidP="00F7093F">
      <w:pPr>
        <w:ind w:left="1440" w:firstLine="567"/>
        <w:jc w:val="both"/>
        <w:rPr>
          <w:rFonts w:ascii="Book Antiqua" w:hAnsi="Book Antiqua"/>
          <w:color w:val="000000"/>
          <w:shd w:val="clear" w:color="auto" w:fill="FFFFFF"/>
          <w:lang w:val="es-PR"/>
        </w:rPr>
      </w:pPr>
      <w:r w:rsidRPr="00F7093F">
        <w:rPr>
          <w:rFonts w:ascii="Book Antiqua" w:hAnsi="Book Antiqua"/>
          <w:lang w:val="es-PR"/>
        </w:rPr>
        <w:t xml:space="preserve">Cuando una parte solicite la descalificación de un abogado o abogada, el Tribunal deberá </w:t>
      </w:r>
      <w:r w:rsidRPr="00F7093F">
        <w:rPr>
          <w:rFonts w:ascii="Book Antiqua" w:hAnsi="Book Antiqua"/>
          <w:color w:val="000000"/>
          <w:shd w:val="clear" w:color="auto" w:fill="FFFFFF"/>
          <w:lang w:val="es-PR"/>
        </w:rPr>
        <w:t xml:space="preserve">realizar un análisis de la totalidad de las circunstancias </w:t>
      </w:r>
      <w:r w:rsidR="00A04993" w:rsidRPr="00F7093F">
        <w:rPr>
          <w:rFonts w:ascii="Book Antiqua" w:hAnsi="Book Antiqua"/>
          <w:color w:val="000000"/>
          <w:shd w:val="clear" w:color="auto" w:fill="FFFFFF"/>
          <w:lang w:val="es-PR"/>
        </w:rPr>
        <w:t xml:space="preserve">en </w:t>
      </w:r>
      <w:r w:rsidRPr="00F7093F">
        <w:rPr>
          <w:rFonts w:ascii="Book Antiqua" w:hAnsi="Book Antiqua"/>
          <w:color w:val="000000"/>
          <w:shd w:val="clear" w:color="auto" w:fill="FFFFFF"/>
          <w:lang w:val="es-PR"/>
        </w:rPr>
        <w:t>conformidad con los</w:t>
      </w:r>
      <w:r w:rsidR="00AE56EF" w:rsidRPr="00F7093F">
        <w:rPr>
          <w:rFonts w:ascii="Book Antiqua" w:hAnsi="Book Antiqua"/>
          <w:color w:val="000000"/>
          <w:shd w:val="clear" w:color="auto" w:fill="FFFFFF"/>
          <w:lang w:val="es-PR"/>
        </w:rPr>
        <w:t xml:space="preserve"> criterios</w:t>
      </w:r>
      <w:r w:rsidRPr="00F7093F">
        <w:rPr>
          <w:rFonts w:ascii="Book Antiqua" w:hAnsi="Book Antiqua"/>
          <w:color w:val="000000"/>
          <w:shd w:val="clear" w:color="auto" w:fill="FFFFFF"/>
          <w:lang w:val="es-PR"/>
        </w:rPr>
        <w:t xml:space="preserve"> siguientes: </w:t>
      </w:r>
    </w:p>
    <w:p w14:paraId="176DE61B" w14:textId="77777777" w:rsidR="00F7093F" w:rsidRPr="00403538" w:rsidRDefault="00F7093F" w:rsidP="00F7093F">
      <w:pPr>
        <w:ind w:left="1440" w:firstLine="567"/>
        <w:jc w:val="both"/>
        <w:rPr>
          <w:rFonts w:ascii="Book Antiqua" w:hAnsi="Book Antiqua"/>
          <w:color w:val="000000"/>
          <w:shd w:val="clear" w:color="auto" w:fill="FFFFFF"/>
          <w:lang w:val="es-PR"/>
        </w:rPr>
      </w:pPr>
    </w:p>
    <w:p w14:paraId="07A57E31" w14:textId="77777777" w:rsidR="00AE56EF" w:rsidRDefault="00AE0349" w:rsidP="00F7093F">
      <w:pPr>
        <w:pStyle w:val="ListParagraph"/>
        <w:numPr>
          <w:ilvl w:val="0"/>
          <w:numId w:val="2"/>
        </w:numPr>
        <w:tabs>
          <w:tab w:val="left" w:pos="2520"/>
        </w:tabs>
        <w:ind w:left="2520" w:firstLine="567"/>
        <w:jc w:val="both"/>
        <w:rPr>
          <w:rFonts w:ascii="Book Antiqua" w:hAnsi="Book Antiqua"/>
          <w:color w:val="000000"/>
          <w:shd w:val="clear" w:color="auto" w:fill="FFFFFF"/>
          <w:lang w:val="es-PR"/>
        </w:rPr>
      </w:pPr>
      <w:proofErr w:type="spellStart"/>
      <w:r w:rsidRPr="00403538">
        <w:rPr>
          <w:rFonts w:ascii="Book Antiqua" w:hAnsi="Book Antiqua"/>
          <w:color w:val="000000"/>
          <w:shd w:val="clear" w:color="auto" w:fill="FFFFFF"/>
          <w:lang w:val="es-PR"/>
        </w:rPr>
        <w:t>si</w:t>
      </w:r>
      <w:proofErr w:type="spellEnd"/>
      <w:r w:rsidRPr="00403538">
        <w:rPr>
          <w:rFonts w:ascii="Book Antiqua" w:hAnsi="Book Antiqua"/>
          <w:color w:val="000000"/>
          <w:shd w:val="clear" w:color="auto" w:fill="FFFFFF"/>
          <w:lang w:val="es-PR"/>
        </w:rPr>
        <w:t xml:space="preserve"> quien solicita la descalificación tiene legitimación activa para invocarla; </w:t>
      </w:r>
    </w:p>
    <w:p w14:paraId="3F415A5A" w14:textId="77777777" w:rsidR="00F7093F" w:rsidRPr="00403538" w:rsidRDefault="00F7093F" w:rsidP="00F7093F">
      <w:pPr>
        <w:pStyle w:val="ListParagraph"/>
        <w:tabs>
          <w:tab w:val="left" w:pos="2520"/>
        </w:tabs>
        <w:ind w:left="3087"/>
        <w:jc w:val="both"/>
        <w:rPr>
          <w:rFonts w:ascii="Book Antiqua" w:hAnsi="Book Antiqua"/>
          <w:color w:val="000000"/>
          <w:shd w:val="clear" w:color="auto" w:fill="FFFFFF"/>
          <w:lang w:val="es-PR"/>
        </w:rPr>
      </w:pPr>
    </w:p>
    <w:p w14:paraId="72E6C237" w14:textId="77777777" w:rsidR="00AE56EF" w:rsidRDefault="00AE0349" w:rsidP="00F7093F">
      <w:pPr>
        <w:pStyle w:val="ListParagraph"/>
        <w:numPr>
          <w:ilvl w:val="0"/>
          <w:numId w:val="2"/>
        </w:numPr>
        <w:tabs>
          <w:tab w:val="left" w:pos="2520"/>
        </w:tabs>
        <w:ind w:left="2520" w:firstLine="567"/>
        <w:jc w:val="both"/>
        <w:rPr>
          <w:rFonts w:ascii="Book Antiqua" w:hAnsi="Book Antiqua"/>
          <w:color w:val="000000"/>
          <w:shd w:val="clear" w:color="auto" w:fill="FFFFFF"/>
          <w:lang w:val="es-PR"/>
        </w:rPr>
      </w:pPr>
      <w:r w:rsidRPr="00403538">
        <w:rPr>
          <w:rFonts w:ascii="Book Antiqua" w:hAnsi="Book Antiqua"/>
          <w:color w:val="000000"/>
          <w:shd w:val="clear" w:color="auto" w:fill="FFFFFF"/>
          <w:lang w:val="es-PR"/>
        </w:rPr>
        <w:t xml:space="preserve">la gravedad de la posible violación ética involucrada; </w:t>
      </w:r>
    </w:p>
    <w:p w14:paraId="69C87D81" w14:textId="77777777" w:rsidR="00F7093F" w:rsidRPr="00F7093F" w:rsidRDefault="00F7093F" w:rsidP="00F7093F">
      <w:pPr>
        <w:tabs>
          <w:tab w:val="left" w:pos="2520"/>
        </w:tabs>
        <w:jc w:val="both"/>
        <w:rPr>
          <w:rFonts w:ascii="Book Antiqua" w:hAnsi="Book Antiqua"/>
          <w:color w:val="000000"/>
          <w:shd w:val="clear" w:color="auto" w:fill="FFFFFF"/>
          <w:lang w:val="es-PR"/>
        </w:rPr>
      </w:pPr>
    </w:p>
    <w:p w14:paraId="19B59C76" w14:textId="4A8193E0" w:rsidR="00AE56EF" w:rsidRDefault="00AE0349" w:rsidP="00F7093F">
      <w:pPr>
        <w:pStyle w:val="ListParagraph"/>
        <w:numPr>
          <w:ilvl w:val="0"/>
          <w:numId w:val="2"/>
        </w:numPr>
        <w:tabs>
          <w:tab w:val="left" w:pos="2520"/>
        </w:tabs>
        <w:ind w:left="2520" w:firstLine="567"/>
        <w:jc w:val="both"/>
        <w:rPr>
          <w:rFonts w:ascii="Book Antiqua" w:hAnsi="Book Antiqua"/>
          <w:color w:val="000000"/>
          <w:shd w:val="clear" w:color="auto" w:fill="FFFFFF"/>
          <w:lang w:val="es-PR"/>
        </w:rPr>
      </w:pPr>
      <w:r w:rsidRPr="00403538">
        <w:rPr>
          <w:rFonts w:ascii="Book Antiqua" w:hAnsi="Book Antiqua"/>
          <w:color w:val="000000"/>
          <w:shd w:val="clear" w:color="auto" w:fill="FFFFFF"/>
          <w:lang w:val="es-PR"/>
        </w:rPr>
        <w:t xml:space="preserve">la complejidad del derecho o los hechos pertinentes a la controversia y el </w:t>
      </w:r>
      <w:r w:rsidR="009E1722" w:rsidRPr="00403538">
        <w:rPr>
          <w:rFonts w:ascii="Book Antiqua" w:hAnsi="Book Antiqua"/>
          <w:color w:val="000000"/>
          <w:shd w:val="clear" w:color="auto" w:fill="FFFFFF"/>
          <w:lang w:val="es-PR"/>
        </w:rPr>
        <w:t>peritaje</w:t>
      </w:r>
      <w:r w:rsidR="00BD444C" w:rsidRPr="00403538">
        <w:rPr>
          <w:rFonts w:ascii="Book Antiqua" w:hAnsi="Book Antiqua"/>
          <w:color w:val="000000"/>
          <w:shd w:val="clear" w:color="auto" w:fill="FFFFFF"/>
          <w:lang w:val="es-PR"/>
        </w:rPr>
        <w:t xml:space="preserve"> </w:t>
      </w:r>
      <w:r w:rsidRPr="00403538">
        <w:rPr>
          <w:rFonts w:ascii="Book Antiqua" w:hAnsi="Book Antiqua"/>
          <w:color w:val="000000"/>
          <w:shd w:val="clear" w:color="auto" w:fill="FFFFFF"/>
          <w:lang w:val="es-PR"/>
        </w:rPr>
        <w:t xml:space="preserve">de los abogados implicados; </w:t>
      </w:r>
    </w:p>
    <w:p w14:paraId="3B39B8B0" w14:textId="77777777" w:rsidR="00F7093F" w:rsidRPr="00F7093F" w:rsidRDefault="00F7093F" w:rsidP="00F7093F">
      <w:pPr>
        <w:tabs>
          <w:tab w:val="left" w:pos="2520"/>
        </w:tabs>
        <w:jc w:val="both"/>
        <w:rPr>
          <w:rFonts w:ascii="Book Antiqua" w:hAnsi="Book Antiqua"/>
          <w:color w:val="000000"/>
          <w:shd w:val="clear" w:color="auto" w:fill="FFFFFF"/>
          <w:lang w:val="es-PR"/>
        </w:rPr>
      </w:pPr>
    </w:p>
    <w:p w14:paraId="674024AB" w14:textId="77777777" w:rsidR="00AE56EF" w:rsidRDefault="00AE0349" w:rsidP="00F7093F">
      <w:pPr>
        <w:pStyle w:val="ListParagraph"/>
        <w:numPr>
          <w:ilvl w:val="0"/>
          <w:numId w:val="2"/>
        </w:numPr>
        <w:tabs>
          <w:tab w:val="left" w:pos="2520"/>
        </w:tabs>
        <w:ind w:left="2520" w:firstLine="567"/>
        <w:jc w:val="both"/>
        <w:rPr>
          <w:rFonts w:ascii="Book Antiqua" w:hAnsi="Book Antiqua"/>
          <w:color w:val="000000"/>
          <w:shd w:val="clear" w:color="auto" w:fill="FFFFFF"/>
          <w:lang w:val="es-PR"/>
        </w:rPr>
      </w:pPr>
      <w:r w:rsidRPr="00403538">
        <w:rPr>
          <w:rFonts w:ascii="Book Antiqua" w:hAnsi="Book Antiqua"/>
          <w:color w:val="000000"/>
          <w:shd w:val="clear" w:color="auto" w:fill="FFFFFF"/>
          <w:lang w:val="es-PR"/>
        </w:rPr>
        <w:t xml:space="preserve">la etapa de los procedimientos en que surja la controversia sobre descalificación y su posible efecto en cuanto a la solución justa, rápida y económica del caso, y </w:t>
      </w:r>
    </w:p>
    <w:p w14:paraId="3D0BCB99" w14:textId="77777777" w:rsidR="00F7093F" w:rsidRPr="00F7093F" w:rsidRDefault="00F7093F" w:rsidP="00F7093F">
      <w:pPr>
        <w:tabs>
          <w:tab w:val="left" w:pos="2520"/>
        </w:tabs>
        <w:jc w:val="both"/>
        <w:rPr>
          <w:rFonts w:ascii="Book Antiqua" w:hAnsi="Book Antiqua"/>
          <w:color w:val="000000"/>
          <w:shd w:val="clear" w:color="auto" w:fill="FFFFFF"/>
          <w:lang w:val="es-PR"/>
        </w:rPr>
      </w:pPr>
    </w:p>
    <w:p w14:paraId="70BC9FC9" w14:textId="77777777" w:rsidR="006E6DBE" w:rsidRDefault="00AE0349" w:rsidP="00F7093F">
      <w:pPr>
        <w:pStyle w:val="ListParagraph"/>
        <w:numPr>
          <w:ilvl w:val="0"/>
          <w:numId w:val="2"/>
        </w:numPr>
        <w:tabs>
          <w:tab w:val="left" w:pos="2520"/>
        </w:tabs>
        <w:ind w:left="2520" w:firstLine="567"/>
        <w:jc w:val="both"/>
        <w:rPr>
          <w:rFonts w:ascii="Book Antiqua" w:hAnsi="Book Antiqua"/>
          <w:color w:val="000000"/>
          <w:shd w:val="clear" w:color="auto" w:fill="FFFFFF"/>
          <w:lang w:val="es-PR"/>
        </w:rPr>
      </w:pPr>
      <w:r w:rsidRPr="00403538">
        <w:rPr>
          <w:rFonts w:ascii="Book Antiqua" w:hAnsi="Book Antiqua"/>
          <w:color w:val="000000"/>
          <w:shd w:val="clear" w:color="auto" w:fill="FFFFFF"/>
          <w:lang w:val="es-PR"/>
        </w:rPr>
        <w:lastRenderedPageBreak/>
        <w:t>si la moción se está utilizando como mecanismo para dilatar los procedimientos.</w:t>
      </w:r>
    </w:p>
    <w:p w14:paraId="67EEB754" w14:textId="77777777" w:rsidR="00A9232C" w:rsidRPr="00A9232C" w:rsidRDefault="00A9232C" w:rsidP="00A9232C">
      <w:pPr>
        <w:tabs>
          <w:tab w:val="left" w:pos="2520"/>
        </w:tabs>
        <w:jc w:val="both"/>
        <w:rPr>
          <w:rFonts w:ascii="Book Antiqua" w:hAnsi="Book Antiqua"/>
          <w:color w:val="000000"/>
          <w:shd w:val="clear" w:color="auto" w:fill="FFFFFF"/>
          <w:lang w:val="es-PR"/>
        </w:rPr>
      </w:pPr>
    </w:p>
    <w:p w14:paraId="22CBB11B" w14:textId="201C4025" w:rsidR="00AE0349" w:rsidRPr="00403538" w:rsidRDefault="005205D6" w:rsidP="00F7093F">
      <w:pPr>
        <w:tabs>
          <w:tab w:val="left" w:pos="2520"/>
        </w:tabs>
        <w:ind w:left="1080" w:hanging="1080"/>
        <w:jc w:val="both"/>
        <w:rPr>
          <w:rFonts w:ascii="Book Antiqua" w:hAnsi="Book Antiqua"/>
          <w:color w:val="000000"/>
          <w:shd w:val="clear" w:color="auto" w:fill="FFFFFF"/>
          <w:lang w:val="es-PR"/>
        </w:rPr>
      </w:pPr>
      <w:r w:rsidRPr="00403538">
        <w:rPr>
          <w:rFonts w:ascii="Book Antiqua" w:hAnsi="Book Antiqua"/>
          <w:shd w:val="clear" w:color="auto" w:fill="FFFFFF"/>
          <w:lang w:val="es-PR"/>
        </w:rPr>
        <w:tab/>
      </w:r>
      <w:r w:rsidR="006E6DBE" w:rsidRPr="00403538">
        <w:rPr>
          <w:rFonts w:ascii="Book Antiqua" w:hAnsi="Book Antiqua"/>
          <w:shd w:val="clear" w:color="auto" w:fill="FFFFFF"/>
          <w:lang w:val="es-PR"/>
        </w:rPr>
        <w:t xml:space="preserve">No obstante, </w:t>
      </w:r>
      <w:r w:rsidR="00E077D4" w:rsidRPr="00403538">
        <w:rPr>
          <w:rFonts w:ascii="Book Antiqua" w:hAnsi="Book Antiqua"/>
          <w:shd w:val="clear" w:color="auto" w:fill="FFFFFF"/>
          <w:lang w:val="es-PR"/>
        </w:rPr>
        <w:t xml:space="preserve">para </w:t>
      </w:r>
      <w:r w:rsidR="006E6DBE" w:rsidRPr="00403538">
        <w:rPr>
          <w:rFonts w:ascii="Book Antiqua" w:hAnsi="Book Antiqua"/>
          <w:shd w:val="clear" w:color="auto" w:fill="FFFFFF"/>
          <w:lang w:val="es-PR"/>
        </w:rPr>
        <w:t>garantizar el debido proceso de ley</w:t>
      </w:r>
      <w:r w:rsidR="0050065A" w:rsidRPr="00737F84">
        <w:rPr>
          <w:rFonts w:ascii="Book Antiqua" w:hAnsi="Book Antiqua"/>
          <w:shd w:val="clear" w:color="auto" w:fill="FFFFFF"/>
          <w:lang w:val="es-PR"/>
        </w:rPr>
        <w:t>,</w:t>
      </w:r>
      <w:r w:rsidR="003E397B" w:rsidRPr="00403538">
        <w:rPr>
          <w:rFonts w:ascii="Book Antiqua" w:hAnsi="Book Antiqua"/>
          <w:shd w:val="clear" w:color="auto" w:fill="FFFFFF"/>
          <w:lang w:val="es-PR"/>
        </w:rPr>
        <w:t xml:space="preserve"> antes de resolver la moción de descalificación,</w:t>
      </w:r>
      <w:r w:rsidR="006E6DBE" w:rsidRPr="00403538">
        <w:rPr>
          <w:rFonts w:ascii="Book Antiqua" w:hAnsi="Book Antiqua"/>
          <w:shd w:val="clear" w:color="auto" w:fill="FFFFFF"/>
          <w:lang w:val="es-PR"/>
        </w:rPr>
        <w:t xml:space="preserve"> el </w:t>
      </w:r>
      <w:r w:rsidR="003E397B" w:rsidRPr="00403538">
        <w:rPr>
          <w:rFonts w:ascii="Book Antiqua" w:hAnsi="Book Antiqua"/>
          <w:shd w:val="clear" w:color="auto" w:fill="FFFFFF"/>
          <w:lang w:val="es-PR"/>
        </w:rPr>
        <w:t>T</w:t>
      </w:r>
      <w:r w:rsidR="006E6DBE" w:rsidRPr="00403538">
        <w:rPr>
          <w:rFonts w:ascii="Book Antiqua" w:hAnsi="Book Antiqua"/>
          <w:shd w:val="clear" w:color="auto" w:fill="FFFFFF"/>
          <w:lang w:val="es-PR"/>
        </w:rPr>
        <w:t>ribunal deberá dar oportunidad a la parte afectada</w:t>
      </w:r>
      <w:r w:rsidR="00F6454E">
        <w:rPr>
          <w:rFonts w:ascii="Book Antiqua" w:hAnsi="Book Antiqua"/>
          <w:shd w:val="clear" w:color="auto" w:fill="FFFFFF"/>
          <w:lang w:val="es-PR"/>
        </w:rPr>
        <w:t xml:space="preserve"> objeto de la descalificación</w:t>
      </w:r>
      <w:r w:rsidR="006E6DBE" w:rsidRPr="00403538">
        <w:rPr>
          <w:rFonts w:ascii="Book Antiqua" w:hAnsi="Book Antiqua"/>
          <w:shd w:val="clear" w:color="auto" w:fill="FFFFFF"/>
          <w:lang w:val="es-PR"/>
        </w:rPr>
        <w:t xml:space="preserve"> de presentar prueba en su defensa</w:t>
      </w:r>
      <w:r w:rsidRPr="00403538">
        <w:rPr>
          <w:rFonts w:ascii="Book Antiqua" w:hAnsi="Book Antiqua"/>
          <w:shd w:val="clear" w:color="auto" w:fill="FFFFFF"/>
          <w:lang w:val="es-PR"/>
        </w:rPr>
        <w:t>.</w:t>
      </w:r>
      <w:r w:rsidR="00AE0349" w:rsidRPr="00403538">
        <w:rPr>
          <w:rFonts w:ascii="Book Antiqua" w:hAnsi="Book Antiqua"/>
          <w:lang w:val="es-PR"/>
        </w:rPr>
        <w:t>”</w:t>
      </w:r>
    </w:p>
    <w:p w14:paraId="5E4FD613" w14:textId="77777777" w:rsidR="00F7093F" w:rsidRDefault="00F7093F" w:rsidP="00F7093F">
      <w:pPr>
        <w:ind w:firstLine="567"/>
        <w:jc w:val="both"/>
        <w:rPr>
          <w:rFonts w:ascii="Book Antiqua" w:hAnsi="Book Antiqua"/>
          <w:lang w:val="es-PR"/>
        </w:rPr>
      </w:pPr>
    </w:p>
    <w:p w14:paraId="7B560B62" w14:textId="22136D2B" w:rsidR="0009352C" w:rsidRPr="00403538" w:rsidRDefault="004A474D" w:rsidP="00F7093F">
      <w:pPr>
        <w:ind w:firstLine="567"/>
        <w:jc w:val="both"/>
        <w:rPr>
          <w:rFonts w:ascii="Book Antiqua" w:hAnsi="Book Antiqua"/>
          <w:bCs/>
          <w:lang w:val="es-ES_tradnl"/>
        </w:rPr>
      </w:pPr>
      <w:r w:rsidRPr="00403538">
        <w:rPr>
          <w:rFonts w:ascii="Book Antiqua" w:hAnsi="Book Antiqua"/>
          <w:lang w:val="es-ES_tradnl"/>
        </w:rPr>
        <w:t>Sección</w:t>
      </w:r>
      <w:r w:rsidR="0009352C" w:rsidRPr="00403538">
        <w:rPr>
          <w:rFonts w:ascii="Book Antiqua" w:hAnsi="Book Antiqua"/>
          <w:bCs/>
          <w:lang w:val="es-ES_tradnl"/>
        </w:rPr>
        <w:t xml:space="preserve"> 2.-Separabilidad</w:t>
      </w:r>
      <w:r w:rsidR="008550FD" w:rsidRPr="00403538">
        <w:rPr>
          <w:rFonts w:ascii="Book Antiqua" w:hAnsi="Book Antiqua"/>
          <w:bCs/>
          <w:lang w:val="es-ES_tradnl"/>
        </w:rPr>
        <w:t>.</w:t>
      </w:r>
    </w:p>
    <w:p w14:paraId="6B74A083" w14:textId="77777777" w:rsidR="00F7093F" w:rsidRDefault="00F7093F" w:rsidP="00F7093F">
      <w:pPr>
        <w:ind w:firstLine="567"/>
        <w:jc w:val="both"/>
        <w:outlineLvl w:val="0"/>
        <w:rPr>
          <w:rFonts w:ascii="Book Antiqua" w:hAnsi="Book Antiqua"/>
          <w:color w:val="000000"/>
          <w:shd w:val="clear" w:color="auto" w:fill="FFFFFF"/>
          <w:lang w:val="es-ES_tradnl"/>
        </w:rPr>
      </w:pPr>
      <w:bookmarkStart w:id="1" w:name="_Hlk487472645"/>
    </w:p>
    <w:p w14:paraId="2EFF9FBF" w14:textId="37D46D5F" w:rsidR="0009352C" w:rsidRPr="00403538" w:rsidRDefault="0009352C" w:rsidP="00F7093F">
      <w:pPr>
        <w:ind w:firstLine="567"/>
        <w:jc w:val="both"/>
        <w:outlineLvl w:val="0"/>
        <w:rPr>
          <w:rFonts w:ascii="Book Antiqua" w:eastAsia="Book Antiqua" w:hAnsi="Book Antiqua" w:cs="Book Antiqua"/>
          <w:color w:val="000000"/>
          <w:lang w:val="es-ES"/>
        </w:rPr>
      </w:pPr>
      <w:r w:rsidRPr="00403538">
        <w:rPr>
          <w:rFonts w:ascii="Book Antiqua" w:hAnsi="Book Antiqua"/>
          <w:color w:val="000000"/>
          <w:shd w:val="clear" w:color="auto" w:fill="FFFFFF"/>
          <w:lang w:val="es-ES_tradnl"/>
        </w:rPr>
        <w:t>Si cualquier cláusula, párrafo, oración, palabra, artículo, disposición, sección, o inciso de esta Ley es declarada nula o inconstitucional</w:t>
      </w:r>
      <w:r w:rsidRPr="00403538">
        <w:rPr>
          <w:rFonts w:ascii="Book Antiqua" w:hAnsi="Book Antiqua"/>
          <w:color w:val="000000"/>
          <w:lang w:val="es-PR" w:eastAsia="es-PR"/>
        </w:rPr>
        <w:t xml:space="preserve"> por un Tribunal con jurisdicción</w:t>
      </w:r>
      <w:r w:rsidRPr="00403538">
        <w:rPr>
          <w:rFonts w:ascii="Book Antiqua" w:hAnsi="Book Antiqua"/>
          <w:color w:val="000000"/>
          <w:shd w:val="clear" w:color="auto" w:fill="FFFFFF"/>
          <w:lang w:val="es-ES_tradnl"/>
        </w:rPr>
        <w:t xml:space="preserve">, la resolución, dictamen o sentencia a tal efecto dictada no afectará, perjudicará ni invalidará el remanente de esta Ley. El efecto de dicha resolución, dictamen o sentencia quedará limitado a la cláusula, párrafo, oración, palabra, artículo, disposición, sección, o inciso </w:t>
      </w:r>
      <w:r w:rsidRPr="00403538">
        <w:rPr>
          <w:rFonts w:ascii="Book Antiqua" w:hAnsi="Book Antiqua"/>
          <w:color w:val="000000"/>
          <w:lang w:val="es-PR" w:eastAsia="es-PR"/>
        </w:rPr>
        <w:t xml:space="preserve">cuya nulidad o </w:t>
      </w:r>
      <w:r w:rsidRPr="00403538">
        <w:rPr>
          <w:rFonts w:ascii="Book Antiqua" w:hAnsi="Book Antiqua"/>
          <w:color w:val="000000"/>
          <w:shd w:val="clear" w:color="auto" w:fill="FFFFFF"/>
          <w:lang w:val="es-ES_tradnl"/>
        </w:rPr>
        <w:t xml:space="preserve">inconstitucionalidad </w:t>
      </w:r>
      <w:r w:rsidRPr="00403538">
        <w:rPr>
          <w:rFonts w:ascii="Book Antiqua" w:hAnsi="Book Antiqua"/>
          <w:color w:val="000000"/>
          <w:lang w:val="es-PR" w:eastAsia="es-PR"/>
        </w:rPr>
        <w:t>haya sido declarada</w:t>
      </w:r>
      <w:r w:rsidRPr="00403538">
        <w:rPr>
          <w:rFonts w:ascii="Book Antiqua" w:hAnsi="Book Antiqua"/>
          <w:color w:val="000000"/>
          <w:shd w:val="clear" w:color="auto" w:fill="FFFFFF"/>
          <w:lang w:val="es-ES_tradnl"/>
        </w:rPr>
        <w:t xml:space="preserve">.  </w:t>
      </w:r>
    </w:p>
    <w:bookmarkEnd w:id="1"/>
    <w:p w14:paraId="2597C630" w14:textId="77777777" w:rsidR="00F7093F" w:rsidRDefault="00F7093F" w:rsidP="00F7093F">
      <w:pPr>
        <w:ind w:firstLine="567"/>
        <w:jc w:val="both"/>
        <w:rPr>
          <w:rFonts w:ascii="Book Antiqua" w:hAnsi="Book Antiqua"/>
          <w:lang w:val="es-ES_tradnl"/>
        </w:rPr>
      </w:pPr>
    </w:p>
    <w:p w14:paraId="1FA020A8" w14:textId="743EBAF9" w:rsidR="007050FC" w:rsidRPr="00403538" w:rsidRDefault="004A474D" w:rsidP="00F7093F">
      <w:pPr>
        <w:ind w:firstLine="567"/>
        <w:jc w:val="both"/>
        <w:rPr>
          <w:rFonts w:ascii="Book Antiqua" w:hAnsi="Book Antiqua"/>
          <w:bCs/>
          <w:lang w:val="es-ES_tradnl"/>
        </w:rPr>
      </w:pPr>
      <w:r w:rsidRPr="00403538">
        <w:rPr>
          <w:rFonts w:ascii="Book Antiqua" w:hAnsi="Book Antiqua"/>
          <w:lang w:val="es-ES_tradnl"/>
        </w:rPr>
        <w:t>Sección</w:t>
      </w:r>
      <w:r w:rsidR="00870379" w:rsidRPr="00403538">
        <w:rPr>
          <w:rFonts w:ascii="Book Antiqua" w:hAnsi="Book Antiqua"/>
          <w:bCs/>
          <w:lang w:val="es-ES_tradnl"/>
        </w:rPr>
        <w:t xml:space="preserve"> </w:t>
      </w:r>
      <w:r w:rsidR="0009352C" w:rsidRPr="00403538">
        <w:rPr>
          <w:rFonts w:ascii="Book Antiqua" w:hAnsi="Book Antiqua"/>
          <w:bCs/>
          <w:lang w:val="es-ES_tradnl"/>
        </w:rPr>
        <w:t>3.</w:t>
      </w:r>
      <w:r w:rsidR="005E76F0" w:rsidRPr="00403538">
        <w:rPr>
          <w:rFonts w:ascii="Book Antiqua" w:hAnsi="Book Antiqua"/>
          <w:bCs/>
          <w:lang w:val="es-ES_tradnl"/>
        </w:rPr>
        <w:t>-</w:t>
      </w:r>
      <w:r w:rsidR="007050FC" w:rsidRPr="00403538">
        <w:rPr>
          <w:rFonts w:ascii="Book Antiqua" w:hAnsi="Book Antiqua"/>
          <w:bCs/>
          <w:lang w:val="es-ES_tradnl"/>
        </w:rPr>
        <w:t>Vigencia.</w:t>
      </w:r>
    </w:p>
    <w:p w14:paraId="3500F9FC" w14:textId="77777777" w:rsidR="00F7093F" w:rsidRDefault="00F7093F" w:rsidP="00F7093F">
      <w:pPr>
        <w:ind w:firstLine="567"/>
        <w:jc w:val="both"/>
        <w:rPr>
          <w:rFonts w:ascii="Book Antiqua" w:hAnsi="Book Antiqua"/>
          <w:bCs/>
          <w:lang w:val="es-ES_tradnl"/>
        </w:rPr>
      </w:pPr>
    </w:p>
    <w:p w14:paraId="5D117E55" w14:textId="4A9AF049" w:rsidR="008D1FE1" w:rsidRPr="00403538" w:rsidRDefault="0009352C" w:rsidP="00F7093F">
      <w:pPr>
        <w:ind w:firstLine="567"/>
        <w:jc w:val="both"/>
        <w:rPr>
          <w:rFonts w:ascii="Book Antiqua" w:hAnsi="Book Antiqua"/>
          <w:bCs/>
          <w:lang w:val="es-ES_tradnl"/>
        </w:rPr>
      </w:pPr>
      <w:r w:rsidRPr="00403538">
        <w:rPr>
          <w:rFonts w:ascii="Book Antiqua" w:hAnsi="Book Antiqua"/>
          <w:bCs/>
          <w:lang w:val="es-ES_tradnl"/>
        </w:rPr>
        <w:t>Esta Ley entrará en vigor inmediatamente después de su aprobación.</w:t>
      </w:r>
    </w:p>
    <w:sectPr w:rsidR="008D1FE1" w:rsidRPr="00403538" w:rsidSect="00F7093F">
      <w:type w:val="continuous"/>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CAC15" w14:textId="77777777" w:rsidR="00F93402" w:rsidRDefault="00F93402">
      <w:r>
        <w:separator/>
      </w:r>
    </w:p>
  </w:endnote>
  <w:endnote w:type="continuationSeparator" w:id="0">
    <w:p w14:paraId="69CE0941" w14:textId="77777777" w:rsidR="00F93402" w:rsidRDefault="00F9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40867" w14:textId="77777777" w:rsidR="00F93402" w:rsidRDefault="00F93402">
      <w:r>
        <w:separator/>
      </w:r>
    </w:p>
  </w:footnote>
  <w:footnote w:type="continuationSeparator" w:id="0">
    <w:p w14:paraId="098E7D89" w14:textId="77777777" w:rsidR="00F93402" w:rsidRDefault="00F93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2E03" w14:textId="77777777" w:rsidR="00E030D6" w:rsidRDefault="001E4703" w:rsidP="00254A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74034D" w14:textId="77777777" w:rsidR="00E030D6" w:rsidRDefault="00E03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A132" w14:textId="04D559DA" w:rsidR="00E030D6" w:rsidRDefault="001E4703" w:rsidP="00254A1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148B">
      <w:rPr>
        <w:rStyle w:val="PageNumber"/>
        <w:noProof/>
      </w:rPr>
      <w:t>4</w:t>
    </w:r>
    <w:r>
      <w:rPr>
        <w:rStyle w:val="PageNumber"/>
      </w:rPr>
      <w:fldChar w:fldCharType="end"/>
    </w:r>
  </w:p>
  <w:p w14:paraId="3762CB43" w14:textId="77777777" w:rsidR="00E030D6" w:rsidRDefault="00E03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2ABD" w14:textId="74483161" w:rsidR="009C6610" w:rsidRPr="009C6610" w:rsidRDefault="009C6610" w:rsidP="009C6610">
    <w:pPr>
      <w:pStyle w:val="Header"/>
      <w:jc w:val="center"/>
      <w:rPr>
        <w:rFonts w:ascii="Book Antiqua" w:hAnsi="Book Antiqua"/>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77428"/>
    <w:multiLevelType w:val="hybridMultilevel"/>
    <w:tmpl w:val="13C0022A"/>
    <w:lvl w:ilvl="0" w:tplc="70E0D6F6">
      <w:start w:val="1"/>
      <w:numFmt w:val="lowerLetter"/>
      <w:lvlText w:val="(%1)"/>
      <w:lvlJc w:val="left"/>
      <w:pPr>
        <w:ind w:left="2520" w:hanging="360"/>
      </w:pPr>
      <w:rPr>
        <w:rFonts w:ascii="Book Antiqua" w:eastAsia="Times New Roman" w:hAnsi="Book Antiqua" w:cs="Verdana"/>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60195E43"/>
    <w:multiLevelType w:val="hybridMultilevel"/>
    <w:tmpl w:val="FC5A8DF6"/>
    <w:lvl w:ilvl="0" w:tplc="03D2FBD0">
      <w:start w:val="1"/>
      <w:numFmt w:val="decimal"/>
      <w:lvlText w:val="(%1)"/>
      <w:lvlJc w:val="left"/>
      <w:pPr>
        <w:ind w:left="3645" w:hanging="405"/>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708380757">
    <w:abstractNumId w:val="0"/>
  </w:num>
  <w:num w:numId="2" w16cid:durableId="895706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2C"/>
    <w:rsid w:val="00003668"/>
    <w:rsid w:val="00011DEC"/>
    <w:rsid w:val="00026BAA"/>
    <w:rsid w:val="0006006F"/>
    <w:rsid w:val="00091F18"/>
    <w:rsid w:val="0009352C"/>
    <w:rsid w:val="000C591F"/>
    <w:rsid w:val="000C6F69"/>
    <w:rsid w:val="00100EBD"/>
    <w:rsid w:val="00141AC2"/>
    <w:rsid w:val="0018134D"/>
    <w:rsid w:val="001966AA"/>
    <w:rsid w:val="001969C8"/>
    <w:rsid w:val="001A28EE"/>
    <w:rsid w:val="001E03BD"/>
    <w:rsid w:val="001E4703"/>
    <w:rsid w:val="00205269"/>
    <w:rsid w:val="00265DD8"/>
    <w:rsid w:val="0028148B"/>
    <w:rsid w:val="00295032"/>
    <w:rsid w:val="002A0D77"/>
    <w:rsid w:val="002B3E7C"/>
    <w:rsid w:val="002C4D28"/>
    <w:rsid w:val="002C5454"/>
    <w:rsid w:val="002E2B97"/>
    <w:rsid w:val="002F1BE8"/>
    <w:rsid w:val="00340F47"/>
    <w:rsid w:val="003577DA"/>
    <w:rsid w:val="00363378"/>
    <w:rsid w:val="0036748A"/>
    <w:rsid w:val="00386CDC"/>
    <w:rsid w:val="003A1AC0"/>
    <w:rsid w:val="003E29F4"/>
    <w:rsid w:val="003E397B"/>
    <w:rsid w:val="003F036D"/>
    <w:rsid w:val="003F64A6"/>
    <w:rsid w:val="00403538"/>
    <w:rsid w:val="00467F95"/>
    <w:rsid w:val="00485A6F"/>
    <w:rsid w:val="004A474D"/>
    <w:rsid w:val="004A542E"/>
    <w:rsid w:val="004F15AC"/>
    <w:rsid w:val="005002E9"/>
    <w:rsid w:val="0050065A"/>
    <w:rsid w:val="005008EF"/>
    <w:rsid w:val="005205D6"/>
    <w:rsid w:val="005533E3"/>
    <w:rsid w:val="00570BE7"/>
    <w:rsid w:val="00592BE2"/>
    <w:rsid w:val="005B48F4"/>
    <w:rsid w:val="005B4918"/>
    <w:rsid w:val="005D2203"/>
    <w:rsid w:val="005E0EF8"/>
    <w:rsid w:val="005E76F0"/>
    <w:rsid w:val="005F4951"/>
    <w:rsid w:val="00606678"/>
    <w:rsid w:val="00606A62"/>
    <w:rsid w:val="006104FD"/>
    <w:rsid w:val="00636197"/>
    <w:rsid w:val="00636337"/>
    <w:rsid w:val="00643A0F"/>
    <w:rsid w:val="0065099E"/>
    <w:rsid w:val="0067078D"/>
    <w:rsid w:val="006A3E0F"/>
    <w:rsid w:val="006A6511"/>
    <w:rsid w:val="006E6DBE"/>
    <w:rsid w:val="007050FC"/>
    <w:rsid w:val="00711F54"/>
    <w:rsid w:val="00714125"/>
    <w:rsid w:val="00737973"/>
    <w:rsid w:val="00737F84"/>
    <w:rsid w:val="00755AC2"/>
    <w:rsid w:val="00775841"/>
    <w:rsid w:val="00782876"/>
    <w:rsid w:val="007A0B89"/>
    <w:rsid w:val="007A7A1D"/>
    <w:rsid w:val="00801345"/>
    <w:rsid w:val="0082529E"/>
    <w:rsid w:val="008550FD"/>
    <w:rsid w:val="00870379"/>
    <w:rsid w:val="00895D06"/>
    <w:rsid w:val="008D1FE1"/>
    <w:rsid w:val="008F0C2E"/>
    <w:rsid w:val="009312B8"/>
    <w:rsid w:val="009351DA"/>
    <w:rsid w:val="00951E31"/>
    <w:rsid w:val="00956768"/>
    <w:rsid w:val="009A32DE"/>
    <w:rsid w:val="009A42D0"/>
    <w:rsid w:val="009C6610"/>
    <w:rsid w:val="009E1722"/>
    <w:rsid w:val="00A04993"/>
    <w:rsid w:val="00A23449"/>
    <w:rsid w:val="00A42CB5"/>
    <w:rsid w:val="00A45D98"/>
    <w:rsid w:val="00A52468"/>
    <w:rsid w:val="00A63813"/>
    <w:rsid w:val="00A9232C"/>
    <w:rsid w:val="00A92F75"/>
    <w:rsid w:val="00AA7BD1"/>
    <w:rsid w:val="00AD1187"/>
    <w:rsid w:val="00AE0349"/>
    <w:rsid w:val="00AE56EF"/>
    <w:rsid w:val="00AF79F6"/>
    <w:rsid w:val="00B079B7"/>
    <w:rsid w:val="00B146B7"/>
    <w:rsid w:val="00B65220"/>
    <w:rsid w:val="00BA3A7E"/>
    <w:rsid w:val="00BC4A4C"/>
    <w:rsid w:val="00BC6DF3"/>
    <w:rsid w:val="00BD444C"/>
    <w:rsid w:val="00BF6B61"/>
    <w:rsid w:val="00C21586"/>
    <w:rsid w:val="00CC7F95"/>
    <w:rsid w:val="00CD6369"/>
    <w:rsid w:val="00CF3215"/>
    <w:rsid w:val="00D17A30"/>
    <w:rsid w:val="00D24B39"/>
    <w:rsid w:val="00D30795"/>
    <w:rsid w:val="00D52AA1"/>
    <w:rsid w:val="00D52E29"/>
    <w:rsid w:val="00D53225"/>
    <w:rsid w:val="00D57214"/>
    <w:rsid w:val="00D808B9"/>
    <w:rsid w:val="00D8655A"/>
    <w:rsid w:val="00D9683A"/>
    <w:rsid w:val="00DB0101"/>
    <w:rsid w:val="00DC30F2"/>
    <w:rsid w:val="00DD0186"/>
    <w:rsid w:val="00DD6433"/>
    <w:rsid w:val="00DE5DAA"/>
    <w:rsid w:val="00DF43B7"/>
    <w:rsid w:val="00E01E30"/>
    <w:rsid w:val="00E030D6"/>
    <w:rsid w:val="00E077D4"/>
    <w:rsid w:val="00E152F9"/>
    <w:rsid w:val="00E203F3"/>
    <w:rsid w:val="00E52CD1"/>
    <w:rsid w:val="00E55B37"/>
    <w:rsid w:val="00E61BF3"/>
    <w:rsid w:val="00EB7284"/>
    <w:rsid w:val="00ED4191"/>
    <w:rsid w:val="00F23468"/>
    <w:rsid w:val="00F23C8C"/>
    <w:rsid w:val="00F47D58"/>
    <w:rsid w:val="00F6454E"/>
    <w:rsid w:val="00F667F0"/>
    <w:rsid w:val="00F7093F"/>
    <w:rsid w:val="00F737EA"/>
    <w:rsid w:val="00F80BE0"/>
    <w:rsid w:val="00F93402"/>
    <w:rsid w:val="00FD63B2"/>
    <w:rsid w:val="00FF59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A3D8B"/>
  <w15:docId w15:val="{2B7E6F5A-105D-4371-A015-F6166081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52C"/>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09352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9352C"/>
    <w:rPr>
      <w:rFonts w:ascii="Arial" w:eastAsia="Times New Roman" w:hAnsi="Arial" w:cs="Arial"/>
      <w:b/>
      <w:bCs/>
      <w:sz w:val="26"/>
      <w:szCs w:val="26"/>
    </w:rPr>
  </w:style>
  <w:style w:type="paragraph" w:styleId="BodyTextIndent3">
    <w:name w:val="Body Text Indent 3"/>
    <w:basedOn w:val="Normal"/>
    <w:link w:val="BodyTextIndent3Char"/>
    <w:rsid w:val="0009352C"/>
    <w:pPr>
      <w:spacing w:after="120"/>
      <w:ind w:left="283"/>
    </w:pPr>
    <w:rPr>
      <w:rFonts w:eastAsia="MS Mincho"/>
      <w:sz w:val="16"/>
      <w:szCs w:val="16"/>
      <w:lang w:val="es-PR"/>
    </w:rPr>
  </w:style>
  <w:style w:type="character" w:customStyle="1" w:styleId="BodyTextIndent3Char">
    <w:name w:val="Body Text Indent 3 Char"/>
    <w:basedOn w:val="DefaultParagraphFont"/>
    <w:link w:val="BodyTextIndent3"/>
    <w:rsid w:val="0009352C"/>
    <w:rPr>
      <w:rFonts w:ascii="Times New Roman" w:eastAsia="MS Mincho" w:hAnsi="Times New Roman" w:cs="Times New Roman"/>
      <w:sz w:val="16"/>
      <w:szCs w:val="16"/>
      <w:lang w:val="es-PR"/>
    </w:rPr>
  </w:style>
  <w:style w:type="paragraph" w:styleId="Header">
    <w:name w:val="header"/>
    <w:basedOn w:val="Normal"/>
    <w:link w:val="HeaderChar"/>
    <w:rsid w:val="0009352C"/>
    <w:pPr>
      <w:tabs>
        <w:tab w:val="center" w:pos="4320"/>
        <w:tab w:val="right" w:pos="8640"/>
      </w:tabs>
    </w:pPr>
  </w:style>
  <w:style w:type="character" w:customStyle="1" w:styleId="HeaderChar">
    <w:name w:val="Header Char"/>
    <w:basedOn w:val="DefaultParagraphFont"/>
    <w:link w:val="Header"/>
    <w:rsid w:val="0009352C"/>
    <w:rPr>
      <w:rFonts w:ascii="Times New Roman" w:eastAsia="Times New Roman" w:hAnsi="Times New Roman" w:cs="Times New Roman"/>
      <w:sz w:val="24"/>
      <w:szCs w:val="24"/>
    </w:rPr>
  </w:style>
  <w:style w:type="character" w:styleId="PageNumber">
    <w:name w:val="page number"/>
    <w:basedOn w:val="DefaultParagraphFont"/>
    <w:rsid w:val="0009352C"/>
  </w:style>
  <w:style w:type="paragraph" w:styleId="NoSpacing">
    <w:name w:val="No Spacing"/>
    <w:uiPriority w:val="99"/>
    <w:qFormat/>
    <w:rsid w:val="0009352C"/>
    <w:pPr>
      <w:spacing w:after="0" w:line="240" w:lineRule="auto"/>
    </w:pPr>
    <w:rPr>
      <w:rFonts w:ascii="Calibri" w:eastAsia="Times New Roman" w:hAnsi="Calibri" w:cs="Times New Roman"/>
      <w:lang w:val="es-PR"/>
    </w:rPr>
  </w:style>
  <w:style w:type="paragraph" w:styleId="ListParagraph">
    <w:name w:val="List Paragraph"/>
    <w:basedOn w:val="Normal"/>
    <w:uiPriority w:val="34"/>
    <w:qFormat/>
    <w:rsid w:val="0009352C"/>
    <w:pPr>
      <w:ind w:left="720"/>
      <w:contextualSpacing/>
    </w:pPr>
  </w:style>
  <w:style w:type="character" w:styleId="LineNumber">
    <w:name w:val="line number"/>
    <w:basedOn w:val="DefaultParagraphFont"/>
    <w:uiPriority w:val="99"/>
    <w:semiHidden/>
    <w:unhideWhenUsed/>
    <w:rsid w:val="0009352C"/>
  </w:style>
  <w:style w:type="character" w:customStyle="1" w:styleId="apple-converted-space">
    <w:name w:val="apple-converted-space"/>
    <w:rsid w:val="0009352C"/>
  </w:style>
  <w:style w:type="character" w:styleId="PlaceholderText">
    <w:name w:val="Placeholder Text"/>
    <w:basedOn w:val="DefaultParagraphFont"/>
    <w:uiPriority w:val="99"/>
    <w:semiHidden/>
    <w:rsid w:val="002B3E7C"/>
    <w:rPr>
      <w:color w:val="808080"/>
    </w:rPr>
  </w:style>
  <w:style w:type="paragraph" w:styleId="BalloonText">
    <w:name w:val="Balloon Text"/>
    <w:basedOn w:val="Normal"/>
    <w:link w:val="BalloonTextChar"/>
    <w:uiPriority w:val="99"/>
    <w:semiHidden/>
    <w:unhideWhenUsed/>
    <w:rsid w:val="00D52E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E29"/>
    <w:rPr>
      <w:rFonts w:ascii="Segoe UI" w:eastAsia="Times New Roman" w:hAnsi="Segoe UI" w:cs="Segoe UI"/>
      <w:sz w:val="18"/>
      <w:szCs w:val="18"/>
    </w:rPr>
  </w:style>
  <w:style w:type="paragraph" w:styleId="Footer">
    <w:name w:val="footer"/>
    <w:basedOn w:val="Normal"/>
    <w:link w:val="FooterChar"/>
    <w:uiPriority w:val="99"/>
    <w:unhideWhenUsed/>
    <w:rsid w:val="009C6610"/>
    <w:pPr>
      <w:tabs>
        <w:tab w:val="center" w:pos="4680"/>
        <w:tab w:val="right" w:pos="9360"/>
      </w:tabs>
    </w:pPr>
  </w:style>
  <w:style w:type="character" w:customStyle="1" w:styleId="FooterChar">
    <w:name w:val="Footer Char"/>
    <w:basedOn w:val="DefaultParagraphFont"/>
    <w:link w:val="Footer"/>
    <w:uiPriority w:val="99"/>
    <w:rsid w:val="009C66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58FC75B682744FB4A53C756BEDC3A3" ma:contentTypeVersion="15" ma:contentTypeDescription="Create a new document." ma:contentTypeScope="" ma:versionID="f5ead3b7e71658e7c82e44210ff32b9d">
  <xsd:schema xmlns:xsd="http://www.w3.org/2001/XMLSchema" xmlns:xs="http://www.w3.org/2001/XMLSchema" xmlns:p="http://schemas.microsoft.com/office/2006/metadata/properties" xmlns:ns1="http://schemas.microsoft.com/sharepoint/v3" xmlns:ns2="c890fddd-4e87-4e08-8b51-545f2a3f7b06" xmlns:ns3="f29de0d1-023e-4363-82d3-bb472b30be6a" targetNamespace="http://schemas.microsoft.com/office/2006/metadata/properties" ma:root="true" ma:fieldsID="8b92269fa1bfb9d955155aea81b0a3ad" ns1:_="" ns2:_="" ns3:_="">
    <xsd:import namespace="http://schemas.microsoft.com/sharepoint/v3"/>
    <xsd:import namespace="c890fddd-4e87-4e08-8b51-545f2a3f7b06"/>
    <xsd:import namespace="f29de0d1-023e-4363-82d3-bb472b30be6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1:_ip_UnifiedCompliancePolicyProperties" minOccurs="0"/>
                <xsd:element ref="ns1:_ip_UnifiedCompliancePolicyUIAction" minOccurs="0"/>
                <xsd:element ref="ns2:SharedWithUsers" minOccurs="0"/>
                <xsd:element ref="ns2:SharedWithDetails"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0fddd-4e87-4e08-8b51-545f2a3f7b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b1c665b-18a4-423b-8a87-b9a4f8bf8551}" ma:internalName="TaxCatchAll" ma:showField="CatchAllData" ma:web="c890fddd-4e87-4e08-8b51-545f2a3f7b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9de0d1-023e-4363-82d3-bb472b30be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f9b2a8-1e3a-458e-92b7-62c6f6b9188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890fddd-4e87-4e08-8b51-545f2a3f7b06" xsi:nil="true"/>
    <_ip_UnifiedCompliancePolicyProperties xmlns="http://schemas.microsoft.com/sharepoint/v3" xsi:nil="true"/>
    <lcf76f155ced4ddcb4097134ff3c332f xmlns="f29de0d1-023e-4363-82d3-bb472b30be6a">
      <Terms xmlns="http://schemas.microsoft.com/office/infopath/2007/PartnerControls"/>
    </lcf76f155ced4ddcb4097134ff3c332f>
    <_dlc_DocId xmlns="c890fddd-4e87-4e08-8b51-545f2a3f7b06">4SQX5P7U7WPY-958212181-817940</_dlc_DocId>
    <_dlc_DocIdUrl xmlns="c890fddd-4e87-4e08-8b51-545f2a3f7b06">
      <Url>https://senpr.sharepoint.com/sites/obralegislativa/_layouts/15/DocIdRedir.aspx?ID=4SQX5P7U7WPY-958212181-817940</Url>
      <Description>4SQX5P7U7WPY-958212181-817940</Description>
    </_dlc_DocIdUrl>
  </documentManagement>
</p:properties>
</file>

<file path=customXml/itemProps1.xml><?xml version="1.0" encoding="utf-8"?>
<ds:datastoreItem xmlns:ds="http://schemas.openxmlformats.org/officeDocument/2006/customXml" ds:itemID="{DC8FED9F-3813-4B75-9401-432F5F0D4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90fddd-4e87-4e08-8b51-545f2a3f7b06"/>
    <ds:schemaRef ds:uri="f29de0d1-023e-4363-82d3-bb472b30b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F59BD-1D5E-4E20-9CB6-7EADE7B01508}">
  <ds:schemaRefs>
    <ds:schemaRef ds:uri="http://schemas.microsoft.com/sharepoint/events"/>
  </ds:schemaRefs>
</ds:datastoreItem>
</file>

<file path=customXml/itemProps3.xml><?xml version="1.0" encoding="utf-8"?>
<ds:datastoreItem xmlns:ds="http://schemas.openxmlformats.org/officeDocument/2006/customXml" ds:itemID="{85393C2D-52EF-4CB7-BD08-547EBD30BD2C}">
  <ds:schemaRefs>
    <ds:schemaRef ds:uri="http://schemas.microsoft.com/sharepoint/v3/contenttype/forms"/>
  </ds:schemaRefs>
</ds:datastoreItem>
</file>

<file path=customXml/itemProps4.xml><?xml version="1.0" encoding="utf-8"?>
<ds:datastoreItem xmlns:ds="http://schemas.openxmlformats.org/officeDocument/2006/customXml" ds:itemID="{81C9D0E6-B5C3-4A25-8800-462EBD9D821E}">
  <ds:schemaRefs>
    <ds:schemaRef ds:uri="http://schemas.microsoft.com/office/2006/metadata/properties"/>
    <ds:schemaRef ds:uri="http://schemas.microsoft.com/office/infopath/2007/PartnerControls"/>
    <ds:schemaRef ds:uri="http://schemas.microsoft.com/sharepoint/v3"/>
    <ds:schemaRef ds:uri="c890fddd-4e87-4e08-8b51-545f2a3f7b06"/>
    <ds:schemaRef ds:uri="f29de0d1-023e-4363-82d3-bb472b30be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Zamora</dc:creator>
  <cp:keywords/>
  <dc:description/>
  <cp:lastModifiedBy>Kristal Rivera Sanchez</cp:lastModifiedBy>
  <cp:revision>2</cp:revision>
  <cp:lastPrinted>2026-01-28T18:22:00Z</cp:lastPrinted>
  <dcterms:created xsi:type="dcterms:W3CDTF">2026-01-29T21:16:00Z</dcterms:created>
  <dcterms:modified xsi:type="dcterms:W3CDTF">2026-01-29T21:16:00Z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0x0101008C58FC75B682744FB4A53C756BEDC3A3</vt:lpwstr>
  </property>
  <property fmtid="{D5CDD505-2E9C-101B-9397-08002B2CF9AE}" pid="3" name="_dlc_DocIdItemGuid">
    <vt:lpwstr>8f365ba3-b7dc-46db-b31f-56e25c933978</vt:lpwstr>
  </property>
  <property fmtid="{D5CDD505-2E9C-101B-9397-08002B2CF9AE}" pid="4" name="MediaServiceImageTags">
    <vt:lpwstr/>
  </property>
</Properties>
</file>